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7434" w14:textId="1DF92C5E" w:rsidR="00DB79A2" w:rsidRDefault="007C303E">
      <w:r>
        <w:rPr>
          <w:noProof/>
          <w:lang w:eastAsia="en-GB"/>
        </w:rPr>
        <w:drawing>
          <wp:anchor distT="0" distB="0" distL="114300" distR="114300" simplePos="0" relativeHeight="251661312" behindDoc="0" locked="0" layoutInCell="1" allowOverlap="1" wp14:anchorId="09130AAC" wp14:editId="55591E05">
            <wp:simplePos x="0" y="0"/>
            <wp:positionH relativeFrom="margin">
              <wp:align>center</wp:align>
            </wp:positionH>
            <wp:positionV relativeFrom="paragraph">
              <wp:posOffset>-914400</wp:posOffset>
            </wp:positionV>
            <wp:extent cx="3944867" cy="2743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4867"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EA0DE" w14:textId="7CCB4A95" w:rsidR="00DB79A2" w:rsidRDefault="00DB79A2"/>
    <w:p w14:paraId="359E4468" w14:textId="2EF3C947" w:rsidR="004A39A9" w:rsidRDefault="004A39A9"/>
    <w:p w14:paraId="13B328DE" w14:textId="350822F8" w:rsidR="004A39A9" w:rsidRDefault="004A39A9"/>
    <w:p w14:paraId="5B339361" w14:textId="065E2137" w:rsidR="004A39A9" w:rsidRDefault="00C63AB8">
      <w:r w:rsidRPr="00C63AB8">
        <w:rPr>
          <w:noProof/>
          <w:color w:val="FF0000"/>
          <w:lang w:eastAsia="en-GB"/>
        </w:rPr>
        <mc:AlternateContent>
          <mc:Choice Requires="wps">
            <w:drawing>
              <wp:anchor distT="0" distB="0" distL="114300" distR="114300" simplePos="0" relativeHeight="251658239" behindDoc="0" locked="0" layoutInCell="1" allowOverlap="1" wp14:anchorId="50528895" wp14:editId="4822DDB1">
                <wp:simplePos x="0" y="0"/>
                <wp:positionH relativeFrom="column">
                  <wp:posOffset>-9772650</wp:posOffset>
                </wp:positionH>
                <wp:positionV relativeFrom="paragraph">
                  <wp:posOffset>457835</wp:posOffset>
                </wp:positionV>
                <wp:extent cx="17526000" cy="5057775"/>
                <wp:effectExtent l="0" t="0" r="0" b="9525"/>
                <wp:wrapNone/>
                <wp:docPr id="2" name="Isosceles Triangle 2"/>
                <wp:cNvGraphicFramePr/>
                <a:graphic xmlns:a="http://schemas.openxmlformats.org/drawingml/2006/main">
                  <a:graphicData uri="http://schemas.microsoft.com/office/word/2010/wordprocessingShape">
                    <wps:wsp>
                      <wps:cNvSpPr/>
                      <wps:spPr>
                        <a:xfrm>
                          <a:off x="0" y="0"/>
                          <a:ext cx="17526000" cy="5057775"/>
                        </a:xfrm>
                        <a:prstGeom prst="triangle">
                          <a:avLst/>
                        </a:prstGeom>
                        <a:solidFill>
                          <a:srgbClr val="3820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EF6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769.5pt;margin-top:36.05pt;width:1380pt;height:39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" fillcolor="#382047" stroked="f" strokeweight="1pt"/>
            </w:pict>
          </mc:Fallback>
        </mc:AlternateContent>
      </w:r>
    </w:p>
    <w:p w14:paraId="64A9DC0F" w14:textId="1DD44541" w:rsidR="004A39A9" w:rsidRDefault="00C63AB8">
      <w:r>
        <w:rPr>
          <w:noProof/>
          <w:lang w:eastAsia="en-GB"/>
        </w:rPr>
        <mc:AlternateContent>
          <mc:Choice Requires="wps">
            <w:drawing>
              <wp:anchor distT="0" distB="0" distL="114300" distR="114300" simplePos="0" relativeHeight="251657214" behindDoc="0" locked="0" layoutInCell="1" allowOverlap="1" wp14:anchorId="69316C67" wp14:editId="470610A8">
                <wp:simplePos x="0" y="0"/>
                <wp:positionH relativeFrom="column">
                  <wp:posOffset>5372100</wp:posOffset>
                </wp:positionH>
                <wp:positionV relativeFrom="paragraph">
                  <wp:posOffset>276860</wp:posOffset>
                </wp:positionV>
                <wp:extent cx="9563100" cy="5257800"/>
                <wp:effectExtent l="0" t="0" r="0" b="0"/>
                <wp:wrapNone/>
                <wp:docPr id="4" name="Isosceles Triangle 4"/>
                <wp:cNvGraphicFramePr/>
                <a:graphic xmlns:a="http://schemas.openxmlformats.org/drawingml/2006/main">
                  <a:graphicData uri="http://schemas.microsoft.com/office/word/2010/wordprocessingShape">
                    <wps:wsp>
                      <wps:cNvSpPr/>
                      <wps:spPr>
                        <a:xfrm>
                          <a:off x="0" y="0"/>
                          <a:ext cx="9563100" cy="5257800"/>
                        </a:xfrm>
                        <a:prstGeom prst="triangle">
                          <a:avLst/>
                        </a:prstGeom>
                        <a:solidFill>
                          <a:srgbClr val="9104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12DE" id="Isosceles Triangle 4" o:spid="_x0000_s1026" type="#_x0000_t5" style="position:absolute;margin-left:423pt;margin-top:21.8pt;width:753pt;height:41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" fillcolor="#910436" stroked="f" strokeweight="1pt"/>
            </w:pict>
          </mc:Fallback>
        </mc:AlternateContent>
      </w:r>
    </w:p>
    <w:p w14:paraId="636C13E6" w14:textId="54B0AFB9" w:rsidR="004A39A9" w:rsidRPr="00CB0146" w:rsidRDefault="004A39A9" w:rsidP="007C303E">
      <w:pPr>
        <w:pStyle w:val="BodyText"/>
        <w:ind w:left="0"/>
      </w:pPr>
      <w:r w:rsidRPr="00CB0146">
        <w:t>FIRST CHOICE HOUSING ASSOCIATION</w:t>
      </w:r>
    </w:p>
    <w:p w14:paraId="63B20FB2" w14:textId="77777777" w:rsidR="007C303E" w:rsidRDefault="004A39A9" w:rsidP="007C303E">
      <w:pPr>
        <w:jc w:val="center"/>
        <w:rPr>
          <w:rFonts w:ascii="KG Tangled Up In You 2" w:hAnsi="KG Tangled Up In You 2"/>
          <w:color w:val="ED7D31" w:themeColor="accent2"/>
          <w:sz w:val="96"/>
          <w:szCs w:val="96"/>
        </w:rPr>
      </w:pPr>
      <w:r w:rsidRPr="004A39A9">
        <w:rPr>
          <w:rFonts w:ascii="KG Tangled Up In You 2" w:hAnsi="KG Tangled Up In You 2"/>
          <w:color w:val="ED7D31" w:themeColor="accent2"/>
          <w:sz w:val="96"/>
          <w:szCs w:val="96"/>
        </w:rPr>
        <w:t>Deeds not words</w:t>
      </w:r>
    </w:p>
    <w:p w14:paraId="0964FEA9" w14:textId="65360030" w:rsidR="004A39A9" w:rsidRPr="004A39A9" w:rsidRDefault="004A39A9" w:rsidP="007C303E">
      <w:pPr>
        <w:jc w:val="center"/>
        <w:rPr>
          <w:rFonts w:ascii="KG Tangled Up In You 2" w:hAnsi="KG Tangled Up In You 2"/>
          <w:sz w:val="40"/>
          <w:szCs w:val="40"/>
        </w:rPr>
      </w:pPr>
      <w:r w:rsidRPr="004A39A9">
        <w:rPr>
          <w:rFonts w:ascii="KG Tangled Up In You 2" w:hAnsi="KG Tangled Up In You 2"/>
          <w:color w:val="ED7D31" w:themeColor="accent2"/>
          <w:sz w:val="40"/>
          <w:szCs w:val="40"/>
        </w:rPr>
        <w:t xml:space="preserve">A pledge to end racial inequality in </w:t>
      </w:r>
      <w:r w:rsidR="007C303E" w:rsidRPr="004A39A9">
        <w:rPr>
          <w:rFonts w:ascii="KG Tangled Up In You 2" w:hAnsi="KG Tangled Up In You 2"/>
          <w:color w:val="ED7D31" w:themeColor="accent2"/>
          <w:sz w:val="40"/>
          <w:szCs w:val="40"/>
        </w:rPr>
        <w:t>housing</w:t>
      </w:r>
    </w:p>
    <w:p w14:paraId="028A3D97" w14:textId="1C706DFA" w:rsidR="004A39A9" w:rsidRDefault="00C63AB8">
      <w:r w:rsidRPr="004A39A9">
        <w:rPr>
          <w:noProof/>
          <w:lang w:eastAsia="en-GB"/>
        </w:rPr>
        <w:drawing>
          <wp:anchor distT="0" distB="0" distL="114300" distR="114300" simplePos="0" relativeHeight="251660288" behindDoc="0" locked="0" layoutInCell="1" allowOverlap="1" wp14:anchorId="3F61E1E8" wp14:editId="16156EBE">
            <wp:simplePos x="0" y="0"/>
            <wp:positionH relativeFrom="page">
              <wp:posOffset>4291330</wp:posOffset>
            </wp:positionH>
            <wp:positionV relativeFrom="paragraph">
              <wp:posOffset>34290</wp:posOffset>
            </wp:positionV>
            <wp:extent cx="6400800" cy="3200400"/>
            <wp:effectExtent l="0" t="0" r="0" b="0"/>
            <wp:wrapNone/>
            <wp:docPr id="1" name="Picture 1" descr="P:\Human Resources\Deeds not Words\Deeds Not Words twitter sup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uman Resources\Deeds not Words\Deeds Not Words twitter suppo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7312" w14:textId="2541A3C1" w:rsidR="004A39A9" w:rsidRDefault="004A39A9">
      <w:r>
        <w:t xml:space="preserve">                                                                                    </w:t>
      </w:r>
      <w:r>
        <w:tab/>
      </w:r>
      <w:r>
        <w:tab/>
      </w:r>
      <w:r>
        <w:tab/>
      </w:r>
      <w:r>
        <w:tab/>
        <w:t xml:space="preserve">         </w:t>
      </w:r>
    </w:p>
    <w:p w14:paraId="44702945" w14:textId="302DD1D8" w:rsidR="00C63AB8" w:rsidRDefault="00C63AB8">
      <w:r>
        <w:br w:type="page"/>
      </w:r>
    </w:p>
    <w:p w14:paraId="1DEC2196" w14:textId="2EF80B23" w:rsidR="004A39A9" w:rsidRPr="004A39A9" w:rsidRDefault="00C63AB8" w:rsidP="00C63AB8">
      <w:pPr>
        <w:jc w:val="center"/>
        <w:rPr>
          <w:rFonts w:ascii="KG Tangled Up In You 2" w:hAnsi="KG Tangled Up In You 2"/>
          <w:sz w:val="96"/>
          <w:szCs w:val="96"/>
        </w:rPr>
      </w:pPr>
      <w:r>
        <w:rPr>
          <w:rFonts w:ascii="KG Tangled Up In You 2" w:hAnsi="KG Tangled Up In You 2"/>
          <w:color w:val="ED7D31" w:themeColor="accent2"/>
          <w:sz w:val="96"/>
          <w:szCs w:val="96"/>
        </w:rPr>
        <w:lastRenderedPageBreak/>
        <w:t>D</w:t>
      </w:r>
      <w:r w:rsidR="004A39A9" w:rsidRPr="004A39A9">
        <w:rPr>
          <w:rFonts w:ascii="KG Tangled Up In You 2" w:hAnsi="KG Tangled Up In You 2"/>
          <w:color w:val="ED7D31" w:themeColor="accent2"/>
          <w:sz w:val="96"/>
          <w:szCs w:val="96"/>
        </w:rPr>
        <w:t>eeds not words</w:t>
      </w:r>
      <w:r w:rsidR="004A39A9">
        <w:rPr>
          <w:rFonts w:ascii="KG Tangled Up In You 2" w:hAnsi="KG Tangled Up In You 2"/>
          <w:color w:val="ED7D31" w:themeColor="accent2"/>
          <w:sz w:val="96"/>
          <w:szCs w:val="96"/>
        </w:rPr>
        <w:t xml:space="preserve"> action plan</w:t>
      </w:r>
    </w:p>
    <w:tbl>
      <w:tblPr>
        <w:tblStyle w:val="TableGrid"/>
        <w:tblW w:w="0" w:type="auto"/>
        <w:tblLook w:val="04A0" w:firstRow="1" w:lastRow="0" w:firstColumn="1" w:lastColumn="0" w:noHBand="0" w:noVBand="1"/>
      </w:tblPr>
      <w:tblGrid>
        <w:gridCol w:w="1980"/>
        <w:gridCol w:w="4111"/>
        <w:gridCol w:w="4394"/>
        <w:gridCol w:w="3260"/>
      </w:tblGrid>
      <w:tr w:rsidR="00046468" w14:paraId="0F7A4911" w14:textId="77777777" w:rsidTr="007C303E">
        <w:tc>
          <w:tcPr>
            <w:tcW w:w="1980" w:type="dxa"/>
            <w:shd w:val="clear" w:color="auto" w:fill="ED7D31" w:themeFill="accent2"/>
          </w:tcPr>
          <w:p w14:paraId="06D146C5" w14:textId="77777777" w:rsidR="00046468" w:rsidRPr="004A39A9" w:rsidRDefault="00046468">
            <w:pPr>
              <w:rPr>
                <w:b/>
              </w:rPr>
            </w:pPr>
            <w:r w:rsidRPr="004A39A9">
              <w:rPr>
                <w:b/>
              </w:rPr>
              <w:t xml:space="preserve">Pledge </w:t>
            </w:r>
          </w:p>
        </w:tc>
        <w:tc>
          <w:tcPr>
            <w:tcW w:w="4111" w:type="dxa"/>
            <w:shd w:val="clear" w:color="auto" w:fill="ED7D31" w:themeFill="accent2"/>
          </w:tcPr>
          <w:p w14:paraId="2594ADCA" w14:textId="77777777" w:rsidR="00046468" w:rsidRPr="004A39A9" w:rsidRDefault="00046468">
            <w:pPr>
              <w:rPr>
                <w:b/>
              </w:rPr>
            </w:pPr>
            <w:r w:rsidRPr="004A39A9">
              <w:rPr>
                <w:b/>
              </w:rPr>
              <w:t xml:space="preserve">Action </w:t>
            </w:r>
          </w:p>
        </w:tc>
        <w:tc>
          <w:tcPr>
            <w:tcW w:w="4394" w:type="dxa"/>
            <w:shd w:val="clear" w:color="auto" w:fill="ED7D31" w:themeFill="accent2"/>
          </w:tcPr>
          <w:p w14:paraId="53DBD707" w14:textId="77777777" w:rsidR="00046468" w:rsidRPr="004A39A9" w:rsidRDefault="00046468">
            <w:pPr>
              <w:rPr>
                <w:b/>
              </w:rPr>
            </w:pPr>
            <w:r w:rsidRPr="004A39A9">
              <w:rPr>
                <w:b/>
              </w:rPr>
              <w:t xml:space="preserve">Progress </w:t>
            </w:r>
          </w:p>
        </w:tc>
        <w:tc>
          <w:tcPr>
            <w:tcW w:w="3260" w:type="dxa"/>
            <w:shd w:val="clear" w:color="auto" w:fill="ED7D31" w:themeFill="accent2"/>
          </w:tcPr>
          <w:p w14:paraId="33D50DAC" w14:textId="77777777" w:rsidR="00046468" w:rsidRPr="004A39A9" w:rsidRDefault="00046468" w:rsidP="00DB79A2">
            <w:pPr>
              <w:rPr>
                <w:b/>
              </w:rPr>
            </w:pPr>
            <w:r w:rsidRPr="004A39A9">
              <w:rPr>
                <w:b/>
              </w:rPr>
              <w:t xml:space="preserve"> Outcome </w:t>
            </w:r>
          </w:p>
        </w:tc>
      </w:tr>
      <w:tr w:rsidR="00046468" w14:paraId="75F4E44B" w14:textId="77777777" w:rsidTr="007C303E">
        <w:tc>
          <w:tcPr>
            <w:tcW w:w="1980" w:type="dxa"/>
            <w:vMerge w:val="restart"/>
          </w:tcPr>
          <w:p w14:paraId="6151D2E3" w14:textId="77777777" w:rsidR="00046468" w:rsidRDefault="00046468" w:rsidP="00AA0847">
            <w:r w:rsidRPr="003F43B9">
              <w:rPr>
                <w:highlight w:val="green"/>
              </w:rPr>
              <w:t>1.Mitigate the impact of Covid-19 on Black, Asian and other minority ethnic staff and communities</w:t>
            </w:r>
          </w:p>
        </w:tc>
        <w:tc>
          <w:tcPr>
            <w:tcW w:w="4111" w:type="dxa"/>
          </w:tcPr>
          <w:p w14:paraId="1B1433C5" w14:textId="4DB2E41C" w:rsidR="00046468" w:rsidRPr="00290068" w:rsidRDefault="00046468" w:rsidP="007C303E">
            <w:pPr>
              <w:rPr>
                <w:highlight w:val="green"/>
              </w:rPr>
            </w:pPr>
            <w:r w:rsidRPr="00290068">
              <w:rPr>
                <w:highlight w:val="green"/>
              </w:rPr>
              <w:t xml:space="preserve">Apply the All Wales Covid-19 Risk Assessment Tool which recognises the increased risk of COVID-19 to BAME staff and act on findings (ensure concerns of Black, </w:t>
            </w:r>
            <w:r w:rsidR="00120C8A" w:rsidRPr="00290068">
              <w:rPr>
                <w:highlight w:val="green"/>
              </w:rPr>
              <w:t>Asian,</w:t>
            </w:r>
            <w:r w:rsidRPr="00290068">
              <w:rPr>
                <w:highlight w:val="green"/>
              </w:rPr>
              <w:t xml:space="preserve"> and other minority ethnic staff are treated seriously and addressed in a compassionate way, without the fear of being disadvantaged if work is realigned)</w:t>
            </w:r>
          </w:p>
        </w:tc>
        <w:tc>
          <w:tcPr>
            <w:tcW w:w="4394" w:type="dxa"/>
          </w:tcPr>
          <w:p w14:paraId="7112D638" w14:textId="32BE9611" w:rsidR="00046468" w:rsidRPr="00290068" w:rsidRDefault="00046468" w:rsidP="007C303E">
            <w:pPr>
              <w:rPr>
                <w:highlight w:val="green"/>
              </w:rPr>
            </w:pPr>
            <w:r w:rsidRPr="00290068">
              <w:rPr>
                <w:highlight w:val="green"/>
              </w:rPr>
              <w:t xml:space="preserve">We have applied Risk Assessments in line with All wales tool and WG guidance and acted upon </w:t>
            </w:r>
            <w:r w:rsidR="00120C8A" w:rsidRPr="00290068">
              <w:rPr>
                <w:highlight w:val="green"/>
              </w:rPr>
              <w:t>findings. We</w:t>
            </w:r>
            <w:r w:rsidRPr="00290068">
              <w:rPr>
                <w:highlight w:val="green"/>
              </w:rPr>
              <w:t xml:space="preserve"> have allowed flexibility for staff to work remotely to safeguard their wellbeing and provided open frequent communication re our COVID planning. We have realigned work where necessary </w:t>
            </w:r>
          </w:p>
        </w:tc>
        <w:tc>
          <w:tcPr>
            <w:tcW w:w="3260" w:type="dxa"/>
          </w:tcPr>
          <w:p w14:paraId="7AB11162" w14:textId="2BDB4547" w:rsidR="00046468" w:rsidRPr="00290068" w:rsidRDefault="00046468" w:rsidP="007C303E">
            <w:pPr>
              <w:rPr>
                <w:highlight w:val="green"/>
              </w:rPr>
            </w:pPr>
            <w:r w:rsidRPr="00290068">
              <w:rPr>
                <w:highlight w:val="green"/>
              </w:rPr>
              <w:t>Staff have fed-back positively throughout the pandemic on their satisfaction on how we have dealt with mitigating the impact of COVID</w:t>
            </w:r>
            <w:r w:rsidR="00120C8A" w:rsidRPr="00290068">
              <w:rPr>
                <w:highlight w:val="green"/>
              </w:rPr>
              <w:t>19. We</w:t>
            </w:r>
            <w:r w:rsidRPr="00290068">
              <w:rPr>
                <w:highlight w:val="green"/>
              </w:rPr>
              <w:t xml:space="preserve"> will continue to monitor this throughout 2021. </w:t>
            </w:r>
          </w:p>
        </w:tc>
      </w:tr>
      <w:tr w:rsidR="00046468" w14:paraId="1716F1EF" w14:textId="77777777" w:rsidTr="007C303E">
        <w:tc>
          <w:tcPr>
            <w:tcW w:w="1980" w:type="dxa"/>
            <w:vMerge/>
          </w:tcPr>
          <w:p w14:paraId="4EE70FA6" w14:textId="77777777" w:rsidR="00046468" w:rsidRDefault="00046468"/>
        </w:tc>
        <w:tc>
          <w:tcPr>
            <w:tcW w:w="4111" w:type="dxa"/>
          </w:tcPr>
          <w:p w14:paraId="11503DA2" w14:textId="580AD96B" w:rsidR="00046468" w:rsidRPr="00290068" w:rsidRDefault="00046468" w:rsidP="007C303E">
            <w:pPr>
              <w:rPr>
                <w:highlight w:val="green"/>
              </w:rPr>
            </w:pPr>
            <w:r w:rsidRPr="00290068">
              <w:rPr>
                <w:highlight w:val="green"/>
              </w:rPr>
              <w:t xml:space="preserve">Commit to wellbeing/psychological and other support to Black, </w:t>
            </w:r>
            <w:r w:rsidR="00120C8A" w:rsidRPr="00290068">
              <w:rPr>
                <w:highlight w:val="green"/>
              </w:rPr>
              <w:t>Asian,</w:t>
            </w:r>
            <w:r w:rsidRPr="00290068">
              <w:rPr>
                <w:highlight w:val="green"/>
              </w:rPr>
              <w:t xml:space="preserve"> and other minority ethnic staff who might feel affected or vulnerable right now</w:t>
            </w:r>
          </w:p>
        </w:tc>
        <w:tc>
          <w:tcPr>
            <w:tcW w:w="4394" w:type="dxa"/>
          </w:tcPr>
          <w:p w14:paraId="4E5919A9" w14:textId="77777777" w:rsidR="00046468" w:rsidRPr="00290068" w:rsidRDefault="00046468" w:rsidP="007C303E">
            <w:pPr>
              <w:rPr>
                <w:highlight w:val="green"/>
              </w:rPr>
            </w:pPr>
            <w:r w:rsidRPr="00290068">
              <w:rPr>
                <w:highlight w:val="green"/>
              </w:rPr>
              <w:t xml:space="preserve">Additional resources have been input into the wellbeing of staff including yoga and PT sessions and quizzes to allow time for social interaction. For those who are feeling more vulnerable we have provided assurance that they can continue to work remotely for the foreseeable future. We intend to recruit a Health &amp; Wellbeing co-ordinator in 2021 who will link in alongside HR in ensuring the physical well-being of all </w:t>
            </w:r>
            <w:r w:rsidR="007E75F4" w:rsidRPr="00290068">
              <w:rPr>
                <w:highlight w:val="green"/>
              </w:rPr>
              <w:t>staff, particularly</w:t>
            </w:r>
            <w:r w:rsidRPr="00290068">
              <w:rPr>
                <w:highlight w:val="green"/>
              </w:rPr>
              <w:t xml:space="preserve"> those in underrepresented groups. </w:t>
            </w:r>
          </w:p>
        </w:tc>
        <w:tc>
          <w:tcPr>
            <w:tcW w:w="3260" w:type="dxa"/>
          </w:tcPr>
          <w:p w14:paraId="4B3A4FDF" w14:textId="77777777" w:rsidR="00046468" w:rsidRPr="00290068" w:rsidRDefault="00046468" w:rsidP="007C303E">
            <w:pPr>
              <w:rPr>
                <w:highlight w:val="green"/>
              </w:rPr>
            </w:pPr>
            <w:r w:rsidRPr="00290068">
              <w:rPr>
                <w:highlight w:val="green"/>
              </w:rPr>
              <w:t xml:space="preserve">Staff from all groups have indicated they feel FCHA have/are continuing to support their psychological wellbeing.  </w:t>
            </w:r>
          </w:p>
        </w:tc>
      </w:tr>
      <w:tr w:rsidR="00046468" w14:paraId="1440DC38" w14:textId="77777777" w:rsidTr="007C303E">
        <w:tc>
          <w:tcPr>
            <w:tcW w:w="1980" w:type="dxa"/>
            <w:vMerge/>
          </w:tcPr>
          <w:p w14:paraId="664C2215" w14:textId="77777777" w:rsidR="00046468" w:rsidRDefault="00046468"/>
        </w:tc>
        <w:tc>
          <w:tcPr>
            <w:tcW w:w="4111" w:type="dxa"/>
          </w:tcPr>
          <w:p w14:paraId="11C46BAE" w14:textId="77777777" w:rsidR="00046468" w:rsidRPr="00290068" w:rsidRDefault="00046468" w:rsidP="007C303E">
            <w:pPr>
              <w:rPr>
                <w:highlight w:val="green"/>
              </w:rPr>
            </w:pPr>
            <w:r w:rsidRPr="00290068">
              <w:rPr>
                <w:highlight w:val="green"/>
              </w:rPr>
              <w:t>Investigate reasons for overcrowding and worse housing conditions amongst some BAME groups. Start acting on findings.</w:t>
            </w:r>
          </w:p>
        </w:tc>
        <w:tc>
          <w:tcPr>
            <w:tcW w:w="4394" w:type="dxa"/>
          </w:tcPr>
          <w:p w14:paraId="3763A2D7" w14:textId="4A1E3345" w:rsidR="00046468" w:rsidRPr="00290068" w:rsidRDefault="007E75F4" w:rsidP="007C303E">
            <w:pPr>
              <w:rPr>
                <w:highlight w:val="green"/>
              </w:rPr>
            </w:pPr>
            <w:r w:rsidRPr="00290068">
              <w:rPr>
                <w:highlight w:val="green"/>
              </w:rPr>
              <w:t xml:space="preserve">FCHA has supported housing accommodation and therefore we do not have houses with overcrowding. </w:t>
            </w:r>
            <w:r w:rsidR="00120C8A" w:rsidRPr="00290068">
              <w:rPr>
                <w:highlight w:val="green"/>
              </w:rPr>
              <w:t>However,</w:t>
            </w:r>
            <w:r w:rsidRPr="00290068">
              <w:rPr>
                <w:highlight w:val="green"/>
              </w:rPr>
              <w:t xml:space="preserve"> we can consider our housing stock and its </w:t>
            </w:r>
            <w:r w:rsidR="00120C8A" w:rsidRPr="00290068">
              <w:rPr>
                <w:highlight w:val="green"/>
              </w:rPr>
              <w:t>condition and</w:t>
            </w:r>
            <w:r w:rsidRPr="00290068">
              <w:rPr>
                <w:highlight w:val="green"/>
              </w:rPr>
              <w:t xml:space="preserve"> relate this to the profiling data held for properties and act on </w:t>
            </w:r>
            <w:r w:rsidR="00120C8A" w:rsidRPr="00290068">
              <w:rPr>
                <w:highlight w:val="green"/>
              </w:rPr>
              <w:t>findings. We</w:t>
            </w:r>
            <w:r w:rsidRPr="00290068">
              <w:rPr>
                <w:highlight w:val="green"/>
              </w:rPr>
              <w:t xml:space="preserve"> will specifically review our general needs stock to identify an issues with housing standards. </w:t>
            </w:r>
          </w:p>
        </w:tc>
        <w:tc>
          <w:tcPr>
            <w:tcW w:w="3260" w:type="dxa"/>
          </w:tcPr>
          <w:p w14:paraId="046AE787" w14:textId="4F983195" w:rsidR="00046468" w:rsidRPr="00290068" w:rsidRDefault="007E75F4" w:rsidP="007C303E">
            <w:pPr>
              <w:rPr>
                <w:highlight w:val="green"/>
              </w:rPr>
            </w:pPr>
            <w:r w:rsidRPr="00290068">
              <w:rPr>
                <w:highlight w:val="green"/>
              </w:rPr>
              <w:t xml:space="preserve">Good quality housing for all tenants particularly in general needs properties where we can influence allocations to be of a more diverse </w:t>
            </w:r>
            <w:r w:rsidR="00476316" w:rsidRPr="00290068">
              <w:rPr>
                <w:highlight w:val="green"/>
              </w:rPr>
              <w:t>nature with</w:t>
            </w:r>
            <w:r w:rsidRPr="00290068">
              <w:rPr>
                <w:highlight w:val="green"/>
              </w:rPr>
              <w:t xml:space="preserve"> specific focus on reviewing the housing for BAME tenant </w:t>
            </w:r>
            <w:r w:rsidR="00476316" w:rsidRPr="00290068">
              <w:rPr>
                <w:highlight w:val="green"/>
              </w:rPr>
              <w:t>groups.</w:t>
            </w:r>
          </w:p>
        </w:tc>
      </w:tr>
      <w:tr w:rsidR="001E62AB" w14:paraId="62875DFB" w14:textId="77777777" w:rsidTr="007C303E">
        <w:tc>
          <w:tcPr>
            <w:tcW w:w="1980" w:type="dxa"/>
            <w:vMerge w:val="restart"/>
          </w:tcPr>
          <w:p w14:paraId="174D1056" w14:textId="29AE4BF8" w:rsidR="001E62AB" w:rsidRDefault="001E62AB" w:rsidP="00AA0847">
            <w:r>
              <w:lastRenderedPageBreak/>
              <w:t>2.Improve the ethnic diversity of board and staff at all levels</w:t>
            </w:r>
          </w:p>
        </w:tc>
        <w:tc>
          <w:tcPr>
            <w:tcW w:w="4111" w:type="dxa"/>
          </w:tcPr>
          <w:p w14:paraId="02786B5E" w14:textId="0572EA4C" w:rsidR="001E62AB" w:rsidRPr="000C4F4D" w:rsidRDefault="001E62AB" w:rsidP="007C303E">
            <w:pPr>
              <w:rPr>
                <w:highlight w:val="green"/>
              </w:rPr>
            </w:pPr>
            <w:r w:rsidRPr="000C4F4D">
              <w:rPr>
                <w:highlight w:val="green"/>
              </w:rPr>
              <w:t>We will adopt the Rooney Rule in our board and staff recruitment</w:t>
            </w:r>
          </w:p>
        </w:tc>
        <w:tc>
          <w:tcPr>
            <w:tcW w:w="4394" w:type="dxa"/>
          </w:tcPr>
          <w:p w14:paraId="60BBAA7F" w14:textId="0F949151" w:rsidR="00D4635F" w:rsidRPr="000C4F4D" w:rsidRDefault="00B44166" w:rsidP="007C303E">
            <w:pPr>
              <w:shd w:val="clear" w:color="auto" w:fill="FFFFFF"/>
              <w:spacing w:before="100" w:beforeAutospacing="1" w:after="100" w:afterAutospacing="1"/>
              <w:rPr>
                <w:rFonts w:ascii="franklin-book" w:eastAsia="Times New Roman" w:hAnsi="franklin-book" w:cs="Times New Roman"/>
                <w:sz w:val="19"/>
                <w:szCs w:val="19"/>
                <w:highlight w:val="green"/>
                <w:lang w:eastAsia="en-GB"/>
              </w:rPr>
            </w:pPr>
            <w:r w:rsidRPr="000C4F4D">
              <w:rPr>
                <w:rFonts w:ascii="Calibri" w:hAnsi="Calibri" w:cs="Calibri"/>
                <w:highlight w:val="green"/>
                <w:shd w:val="clear" w:color="auto" w:fill="FFFFFF"/>
              </w:rPr>
              <w:t>BAME candidates will be offered an interview </w:t>
            </w:r>
            <w:r w:rsidRPr="000C4F4D">
              <w:rPr>
                <w:rStyle w:val="Strong"/>
                <w:rFonts w:ascii="Calibri" w:hAnsi="Calibri" w:cs="Calibri"/>
                <w:highlight w:val="green"/>
                <w:shd w:val="clear" w:color="auto" w:fill="FFFFFF"/>
              </w:rPr>
              <w:t>providing they meet the essential job criteria-</w:t>
            </w:r>
            <w:r w:rsidRPr="000C4F4D">
              <w:rPr>
                <w:rStyle w:val="Strong"/>
                <w:rFonts w:ascii="Calibri" w:hAnsi="Calibri" w:cs="Calibri"/>
                <w:b w:val="0"/>
                <w:highlight w:val="green"/>
                <w:shd w:val="clear" w:color="auto" w:fill="FFFFFF"/>
              </w:rPr>
              <w:t xml:space="preserve">We will shortlist candidates before reviewing profiling data to avoid unconscious </w:t>
            </w:r>
            <w:r w:rsidR="00120C8A" w:rsidRPr="000C4F4D">
              <w:rPr>
                <w:rStyle w:val="Strong"/>
                <w:rFonts w:ascii="Calibri" w:hAnsi="Calibri" w:cs="Calibri"/>
                <w:b w:val="0"/>
                <w:highlight w:val="green"/>
                <w:shd w:val="clear" w:color="auto" w:fill="FFFFFF"/>
              </w:rPr>
              <w:t xml:space="preserve">bias. </w:t>
            </w:r>
            <w:r w:rsidRPr="000C4F4D">
              <w:rPr>
                <w:rStyle w:val="Strong"/>
                <w:rFonts w:ascii="Calibri" w:hAnsi="Calibri" w:cs="Calibri"/>
                <w:b w:val="0"/>
                <w:highlight w:val="green"/>
                <w:shd w:val="clear" w:color="auto" w:fill="FFFFFF"/>
              </w:rPr>
              <w:t xml:space="preserve">All applications are separated from profiling data before shortlisting. </w:t>
            </w:r>
            <w:r w:rsidR="00D4635F" w:rsidRPr="000C4F4D">
              <w:rPr>
                <w:rFonts w:ascii="Calibri" w:eastAsia="Times New Roman" w:hAnsi="Calibri" w:cs="Calibri"/>
                <w:highlight w:val="green"/>
                <w:lang w:eastAsia="en-GB"/>
              </w:rPr>
              <w:t xml:space="preserve">However, in order not to fall foul of GDPR laws, you should ask for applicants consent to use information provided about their ethnicity in the recruitment </w:t>
            </w:r>
            <w:r w:rsidR="00120C8A" w:rsidRPr="000C4F4D">
              <w:rPr>
                <w:rFonts w:ascii="Calibri" w:eastAsia="Times New Roman" w:hAnsi="Calibri" w:cs="Calibri"/>
                <w:highlight w:val="green"/>
                <w:lang w:eastAsia="en-GB"/>
              </w:rPr>
              <w:t>process.</w:t>
            </w:r>
          </w:p>
          <w:p w14:paraId="5E529FA6" w14:textId="77777777" w:rsidR="00B44166" w:rsidRPr="000C4F4D" w:rsidRDefault="00B44166" w:rsidP="00120C8A">
            <w:pPr>
              <w:rPr>
                <w:rStyle w:val="Strong"/>
                <w:rFonts w:ascii="Calibri" w:hAnsi="Calibri" w:cs="Calibri"/>
                <w:b w:val="0"/>
                <w:highlight w:val="green"/>
                <w:shd w:val="clear" w:color="auto" w:fill="FFFFFF"/>
              </w:rPr>
            </w:pPr>
            <w:r w:rsidRPr="000C4F4D">
              <w:rPr>
                <w:rStyle w:val="Strong"/>
                <w:rFonts w:ascii="Calibri" w:hAnsi="Calibri" w:cs="Calibri"/>
                <w:b w:val="0"/>
                <w:highlight w:val="green"/>
                <w:shd w:val="clear" w:color="auto" w:fill="FFFFFF"/>
              </w:rPr>
              <w:t xml:space="preserve">We will positively encourage the return of Equality returns with all job </w:t>
            </w:r>
            <w:r w:rsidR="00120C8A" w:rsidRPr="000C4F4D">
              <w:rPr>
                <w:rStyle w:val="Strong"/>
                <w:rFonts w:ascii="Calibri" w:hAnsi="Calibri" w:cs="Calibri"/>
                <w:b w:val="0"/>
                <w:highlight w:val="green"/>
                <w:shd w:val="clear" w:color="auto" w:fill="FFFFFF"/>
              </w:rPr>
              <w:t>applications to</w:t>
            </w:r>
            <w:r w:rsidRPr="000C4F4D">
              <w:rPr>
                <w:rStyle w:val="Strong"/>
                <w:rFonts w:ascii="Calibri" w:hAnsi="Calibri" w:cs="Calibri"/>
                <w:b w:val="0"/>
                <w:highlight w:val="green"/>
                <w:shd w:val="clear" w:color="auto" w:fill="FFFFFF"/>
              </w:rPr>
              <w:t xml:space="preserve"> enable us to identify BAME </w:t>
            </w:r>
            <w:r w:rsidR="00120C8A" w:rsidRPr="000C4F4D">
              <w:rPr>
                <w:rStyle w:val="Strong"/>
                <w:rFonts w:ascii="Calibri" w:hAnsi="Calibri" w:cs="Calibri"/>
                <w:b w:val="0"/>
                <w:highlight w:val="green"/>
                <w:shd w:val="clear" w:color="auto" w:fill="FFFFFF"/>
              </w:rPr>
              <w:t>candidates.</w:t>
            </w:r>
            <w:r w:rsidRPr="000C4F4D">
              <w:rPr>
                <w:rStyle w:val="Strong"/>
                <w:rFonts w:ascii="Calibri" w:hAnsi="Calibri" w:cs="Calibri"/>
                <w:b w:val="0"/>
                <w:highlight w:val="green"/>
                <w:shd w:val="clear" w:color="auto" w:fill="FFFFFF"/>
              </w:rPr>
              <w:t xml:space="preserve"> </w:t>
            </w:r>
          </w:p>
          <w:p w14:paraId="22C37E58" w14:textId="77777777" w:rsidR="00B97A9E" w:rsidRPr="000C4F4D" w:rsidRDefault="00B97A9E" w:rsidP="00120C8A">
            <w:pPr>
              <w:rPr>
                <w:rStyle w:val="Strong"/>
                <w:rFonts w:ascii="Calibri" w:hAnsi="Calibri" w:cs="Calibri"/>
                <w:b w:val="0"/>
                <w:highlight w:val="green"/>
                <w:shd w:val="clear" w:color="auto" w:fill="FFFFFF"/>
              </w:rPr>
            </w:pPr>
          </w:p>
          <w:p w14:paraId="08EA80C6" w14:textId="573BA63A" w:rsidR="00B97A9E" w:rsidRPr="000C4F4D" w:rsidRDefault="00B97A9E" w:rsidP="00120C8A">
            <w:pPr>
              <w:rPr>
                <w:rFonts w:ascii="Calibri" w:hAnsi="Calibri" w:cs="Calibri"/>
                <w:bCs/>
                <w:color w:val="FF0000"/>
                <w:highlight w:val="green"/>
                <w:shd w:val="clear" w:color="auto" w:fill="FFFFFF"/>
              </w:rPr>
            </w:pPr>
          </w:p>
        </w:tc>
        <w:tc>
          <w:tcPr>
            <w:tcW w:w="3260" w:type="dxa"/>
          </w:tcPr>
          <w:p w14:paraId="275AD418" w14:textId="32519967" w:rsidR="001E62AB" w:rsidRPr="000C4F4D" w:rsidRDefault="00B44166" w:rsidP="007C303E">
            <w:pPr>
              <w:rPr>
                <w:highlight w:val="green"/>
              </w:rPr>
            </w:pPr>
            <w:r w:rsidRPr="000C4F4D">
              <w:rPr>
                <w:highlight w:val="green"/>
              </w:rPr>
              <w:t xml:space="preserve">More diverse workforce </w:t>
            </w:r>
            <w:r w:rsidR="00D4635F" w:rsidRPr="000C4F4D">
              <w:rPr>
                <w:highlight w:val="green"/>
              </w:rPr>
              <w:t xml:space="preserve">at staff and Board levels </w:t>
            </w:r>
          </w:p>
        </w:tc>
      </w:tr>
      <w:tr w:rsidR="001E62AB" w14:paraId="1F486BF9" w14:textId="77777777" w:rsidTr="007C303E">
        <w:tc>
          <w:tcPr>
            <w:tcW w:w="1980" w:type="dxa"/>
            <w:vMerge/>
          </w:tcPr>
          <w:p w14:paraId="7E2D4809" w14:textId="77777777" w:rsidR="001E62AB" w:rsidRDefault="001E62AB"/>
        </w:tc>
        <w:tc>
          <w:tcPr>
            <w:tcW w:w="4111" w:type="dxa"/>
          </w:tcPr>
          <w:p w14:paraId="2A318A04" w14:textId="77777777" w:rsidR="001E62AB" w:rsidRPr="005820AC" w:rsidRDefault="001E62AB" w:rsidP="007C303E">
            <w:pPr>
              <w:rPr>
                <w:highlight w:val="green"/>
              </w:rPr>
            </w:pPr>
            <w:r w:rsidRPr="005820AC">
              <w:rPr>
                <w:highlight w:val="green"/>
              </w:rPr>
              <w:t>Adopt the Rooney Rule in at job levels where you identify under representation</w:t>
            </w:r>
          </w:p>
        </w:tc>
        <w:tc>
          <w:tcPr>
            <w:tcW w:w="4394" w:type="dxa"/>
          </w:tcPr>
          <w:p w14:paraId="498881F6" w14:textId="77777777" w:rsidR="001E62AB" w:rsidRPr="005820AC" w:rsidRDefault="00B44166" w:rsidP="007C303E">
            <w:pPr>
              <w:shd w:val="clear" w:color="auto" w:fill="FFFFFF"/>
              <w:spacing w:before="100" w:beforeAutospacing="1" w:after="100" w:afterAutospacing="1"/>
              <w:rPr>
                <w:highlight w:val="green"/>
              </w:rPr>
            </w:pPr>
            <w:r w:rsidRPr="005820AC">
              <w:rPr>
                <w:rFonts w:ascii="Calibri" w:eastAsia="Times New Roman" w:hAnsi="Calibri" w:cs="Calibri"/>
                <w:highlight w:val="green"/>
                <w:lang w:eastAsia="en-GB"/>
              </w:rPr>
              <w:t xml:space="preserve">Where we identify a particular group is under-represented we will apply the Rooney Rule within a specific areas where we have the most under representation. We must caveat this by highlighting we are a small organisation and statistics can be misrepresentative so should be treated with caution.  </w:t>
            </w:r>
          </w:p>
        </w:tc>
        <w:tc>
          <w:tcPr>
            <w:tcW w:w="3260" w:type="dxa"/>
          </w:tcPr>
          <w:p w14:paraId="14EE9149" w14:textId="7D17E73A" w:rsidR="001E62AB" w:rsidRPr="005820AC" w:rsidRDefault="00B44166" w:rsidP="007C303E">
            <w:pPr>
              <w:rPr>
                <w:highlight w:val="green"/>
              </w:rPr>
            </w:pPr>
            <w:r w:rsidRPr="005820AC">
              <w:rPr>
                <w:highlight w:val="green"/>
              </w:rPr>
              <w:t xml:space="preserve">Positive action to create a diverse workforce </w:t>
            </w:r>
          </w:p>
        </w:tc>
      </w:tr>
      <w:tr w:rsidR="001E62AB" w14:paraId="0AEA4B67" w14:textId="77777777" w:rsidTr="007C303E">
        <w:tc>
          <w:tcPr>
            <w:tcW w:w="1980" w:type="dxa"/>
            <w:vMerge/>
          </w:tcPr>
          <w:p w14:paraId="3862E9C1" w14:textId="77777777" w:rsidR="001E62AB" w:rsidRDefault="001E62AB"/>
        </w:tc>
        <w:tc>
          <w:tcPr>
            <w:tcW w:w="4111" w:type="dxa"/>
          </w:tcPr>
          <w:p w14:paraId="45AE50BA" w14:textId="77777777" w:rsidR="001E62AB" w:rsidRPr="007F23C8" w:rsidRDefault="001E62AB" w:rsidP="007C303E">
            <w:pPr>
              <w:rPr>
                <w:highlight w:val="green"/>
              </w:rPr>
            </w:pPr>
            <w:r w:rsidRPr="007F23C8">
              <w:rPr>
                <w:highlight w:val="green"/>
              </w:rPr>
              <w:t>Re</w:t>
            </w:r>
            <w:r w:rsidR="00C72F3E" w:rsidRPr="007F23C8">
              <w:rPr>
                <w:highlight w:val="green"/>
              </w:rPr>
              <w:t xml:space="preserve">view </w:t>
            </w:r>
            <w:r w:rsidRPr="007F23C8">
              <w:rPr>
                <w:highlight w:val="green"/>
              </w:rPr>
              <w:t xml:space="preserve"> annually and act on findings:  ethnicities pay gap (where pay gap reporting is not possible due to small sample sizes – report BAME employ</w:t>
            </w:r>
            <w:r w:rsidR="00C72F3E" w:rsidRPr="007F23C8">
              <w:rPr>
                <w:highlight w:val="green"/>
              </w:rPr>
              <w:t xml:space="preserve">ee ratios at different levels) </w:t>
            </w:r>
            <w:r w:rsidRPr="007F23C8">
              <w:rPr>
                <w:highlight w:val="green"/>
              </w:rPr>
              <w:t>recruitment, promotion, and retention ethnicity data</w:t>
            </w:r>
          </w:p>
        </w:tc>
        <w:tc>
          <w:tcPr>
            <w:tcW w:w="4394" w:type="dxa"/>
          </w:tcPr>
          <w:p w14:paraId="4B5BD193" w14:textId="77777777" w:rsidR="001E62AB" w:rsidRPr="007F23C8" w:rsidRDefault="00C72F3E" w:rsidP="007C303E">
            <w:pPr>
              <w:rPr>
                <w:highlight w:val="green"/>
              </w:rPr>
            </w:pPr>
            <w:r w:rsidRPr="007F23C8">
              <w:rPr>
                <w:highlight w:val="green"/>
              </w:rPr>
              <w:t xml:space="preserve">We will develop our reporting structures to identify levels although due to our size this data may not be meaningful. We can compare and contrast retention for BAME employees in contrast to other staff groups. </w:t>
            </w:r>
          </w:p>
        </w:tc>
        <w:tc>
          <w:tcPr>
            <w:tcW w:w="3260" w:type="dxa"/>
          </w:tcPr>
          <w:p w14:paraId="1C83E4B9" w14:textId="65B9A562" w:rsidR="001E62AB" w:rsidRPr="007F23C8" w:rsidRDefault="00C72F3E" w:rsidP="007C303E">
            <w:pPr>
              <w:rPr>
                <w:highlight w:val="green"/>
              </w:rPr>
            </w:pPr>
            <w:r w:rsidRPr="007F23C8">
              <w:rPr>
                <w:highlight w:val="green"/>
              </w:rPr>
              <w:t xml:space="preserve">Consistent review to ensure positive recruitment and retention of BAME groups. </w:t>
            </w:r>
          </w:p>
        </w:tc>
      </w:tr>
      <w:tr w:rsidR="001E62AB" w14:paraId="56CBBAC9" w14:textId="77777777" w:rsidTr="007C303E">
        <w:tc>
          <w:tcPr>
            <w:tcW w:w="1980" w:type="dxa"/>
            <w:vMerge/>
          </w:tcPr>
          <w:p w14:paraId="595B58C0" w14:textId="77777777" w:rsidR="001E62AB" w:rsidRDefault="001E62AB" w:rsidP="007C303E"/>
        </w:tc>
        <w:tc>
          <w:tcPr>
            <w:tcW w:w="4111" w:type="dxa"/>
          </w:tcPr>
          <w:p w14:paraId="2068AFA5" w14:textId="77777777" w:rsidR="001E62AB" w:rsidRPr="000C4F4D" w:rsidRDefault="001E62AB" w:rsidP="007C303E">
            <w:pPr>
              <w:rPr>
                <w:highlight w:val="green"/>
              </w:rPr>
            </w:pPr>
            <w:r w:rsidRPr="000C4F4D">
              <w:rPr>
                <w:highlight w:val="green"/>
              </w:rPr>
              <w:t>Invest in recruitment channels to bring in more Black, Asian and Ethnic Minority applicants</w:t>
            </w:r>
          </w:p>
        </w:tc>
        <w:tc>
          <w:tcPr>
            <w:tcW w:w="4394" w:type="dxa"/>
          </w:tcPr>
          <w:p w14:paraId="6B270403" w14:textId="77777777" w:rsidR="001E62AB" w:rsidRPr="000C4F4D" w:rsidRDefault="002C2D08" w:rsidP="007C303E">
            <w:pPr>
              <w:rPr>
                <w:highlight w:val="green"/>
              </w:rPr>
            </w:pPr>
            <w:r w:rsidRPr="000C4F4D">
              <w:rPr>
                <w:highlight w:val="green"/>
              </w:rPr>
              <w:t xml:space="preserve">Consider partnering with Race Council Cymru to help us open out and widen channels of recruitment and collaboration. </w:t>
            </w:r>
          </w:p>
        </w:tc>
        <w:tc>
          <w:tcPr>
            <w:tcW w:w="3260" w:type="dxa"/>
          </w:tcPr>
          <w:p w14:paraId="52D1D456" w14:textId="6092EFE9" w:rsidR="001E62AB" w:rsidRPr="000C4F4D" w:rsidRDefault="000C4F4D" w:rsidP="007C303E">
            <w:pPr>
              <w:rPr>
                <w:highlight w:val="green"/>
              </w:rPr>
            </w:pPr>
            <w:proofErr w:type="gramStart"/>
            <w:r w:rsidRPr="000C4F4D">
              <w:rPr>
                <w:highlight w:val="green"/>
              </w:rPr>
              <w:t>A number of</w:t>
            </w:r>
            <w:proofErr w:type="gramEnd"/>
            <w:r w:rsidRPr="000C4F4D">
              <w:rPr>
                <w:highlight w:val="green"/>
              </w:rPr>
              <w:t xml:space="preserve"> positions have been advertised via Race Council Wales </w:t>
            </w:r>
            <w:r w:rsidRPr="000C4F4D">
              <w:rPr>
                <w:highlight w:val="green"/>
              </w:rPr>
              <w:lastRenderedPageBreak/>
              <w:t xml:space="preserve">to try and </w:t>
            </w:r>
            <w:proofErr w:type="spellStart"/>
            <w:r w:rsidRPr="000C4F4D">
              <w:rPr>
                <w:highlight w:val="green"/>
              </w:rPr>
              <w:t>attrat</w:t>
            </w:r>
            <w:proofErr w:type="spellEnd"/>
            <w:r w:rsidRPr="000C4F4D">
              <w:rPr>
                <w:highlight w:val="green"/>
              </w:rPr>
              <w:t xml:space="preserve"> a more diverse membership  </w:t>
            </w:r>
          </w:p>
        </w:tc>
      </w:tr>
      <w:tr w:rsidR="001E62AB" w14:paraId="29812D4F" w14:textId="77777777" w:rsidTr="007C303E">
        <w:tc>
          <w:tcPr>
            <w:tcW w:w="1980" w:type="dxa"/>
            <w:vMerge/>
          </w:tcPr>
          <w:p w14:paraId="60C99F2A" w14:textId="77777777" w:rsidR="001E62AB" w:rsidRDefault="001E62AB" w:rsidP="007C303E"/>
        </w:tc>
        <w:tc>
          <w:tcPr>
            <w:tcW w:w="4111" w:type="dxa"/>
          </w:tcPr>
          <w:p w14:paraId="31EBE88C" w14:textId="77777777" w:rsidR="001E62AB" w:rsidRPr="005820AC" w:rsidRDefault="001E62AB" w:rsidP="007C303E">
            <w:pPr>
              <w:rPr>
                <w:highlight w:val="green"/>
              </w:rPr>
            </w:pPr>
            <w:r w:rsidRPr="005820AC">
              <w:rPr>
                <w:highlight w:val="green"/>
              </w:rPr>
              <w:t>Train all staff and board in Unconscious Bias and raise awareness of white privilege</w:t>
            </w:r>
          </w:p>
        </w:tc>
        <w:tc>
          <w:tcPr>
            <w:tcW w:w="4394" w:type="dxa"/>
          </w:tcPr>
          <w:p w14:paraId="53B4EC76" w14:textId="77777777" w:rsidR="001E62AB" w:rsidRPr="005820AC" w:rsidRDefault="00227FFD" w:rsidP="007C303E">
            <w:pPr>
              <w:rPr>
                <w:highlight w:val="green"/>
              </w:rPr>
            </w:pPr>
            <w:r w:rsidRPr="005820AC">
              <w:rPr>
                <w:highlight w:val="green"/>
              </w:rPr>
              <w:t>Training commenced in 202</w:t>
            </w:r>
            <w:r w:rsidR="002C2D08" w:rsidRPr="005820AC">
              <w:rPr>
                <w:highlight w:val="green"/>
              </w:rPr>
              <w:t xml:space="preserve">1 and will be continued for new staff and Board members bi-annually.  </w:t>
            </w:r>
          </w:p>
          <w:p w14:paraId="5EE05BC8" w14:textId="77777777" w:rsidR="001157B0" w:rsidRPr="005820AC" w:rsidRDefault="001157B0" w:rsidP="007C303E">
            <w:pPr>
              <w:rPr>
                <w:highlight w:val="green"/>
              </w:rPr>
            </w:pPr>
          </w:p>
          <w:p w14:paraId="424517FA" w14:textId="3BF33D23" w:rsidR="007C7036" w:rsidRPr="005820AC" w:rsidRDefault="007C7036" w:rsidP="007C303E">
            <w:pPr>
              <w:rPr>
                <w:highlight w:val="green"/>
              </w:rPr>
            </w:pPr>
            <w:r w:rsidRPr="005820AC">
              <w:rPr>
                <w:color w:val="FF0000"/>
                <w:highlight w:val="green"/>
              </w:rPr>
              <w:t xml:space="preserve"> </w:t>
            </w:r>
          </w:p>
        </w:tc>
        <w:tc>
          <w:tcPr>
            <w:tcW w:w="3260" w:type="dxa"/>
          </w:tcPr>
          <w:p w14:paraId="6FB5B8D8" w14:textId="52840739" w:rsidR="001E62AB" w:rsidRPr="005820AC" w:rsidRDefault="002C2D08" w:rsidP="007C303E">
            <w:pPr>
              <w:rPr>
                <w:highlight w:val="green"/>
              </w:rPr>
            </w:pPr>
            <w:r w:rsidRPr="005820AC">
              <w:rPr>
                <w:highlight w:val="green"/>
              </w:rPr>
              <w:t xml:space="preserve">Awareness of unconscious bias at all levels throughout the organisation </w:t>
            </w:r>
          </w:p>
        </w:tc>
      </w:tr>
      <w:tr w:rsidR="001E62AB" w14:paraId="365CE5AC" w14:textId="77777777" w:rsidTr="007C303E">
        <w:tc>
          <w:tcPr>
            <w:tcW w:w="1980" w:type="dxa"/>
            <w:vMerge/>
          </w:tcPr>
          <w:p w14:paraId="5BB3E678" w14:textId="77777777" w:rsidR="001E62AB" w:rsidRDefault="001E62AB" w:rsidP="007C303E"/>
        </w:tc>
        <w:tc>
          <w:tcPr>
            <w:tcW w:w="4111" w:type="dxa"/>
          </w:tcPr>
          <w:p w14:paraId="1F9D8155" w14:textId="77777777" w:rsidR="001E62AB" w:rsidRPr="005820AC" w:rsidRDefault="001E62AB" w:rsidP="007C303E">
            <w:pPr>
              <w:rPr>
                <w:highlight w:val="green"/>
              </w:rPr>
            </w:pPr>
            <w:r w:rsidRPr="005820AC">
              <w:rPr>
                <w:highlight w:val="green"/>
              </w:rPr>
              <w:t>Ensure ethnically diverse recruitment panels</w:t>
            </w:r>
          </w:p>
        </w:tc>
        <w:tc>
          <w:tcPr>
            <w:tcW w:w="4394" w:type="dxa"/>
          </w:tcPr>
          <w:p w14:paraId="71510FBB" w14:textId="10085750" w:rsidR="00120C8A" w:rsidRPr="005820AC" w:rsidRDefault="001B6EB0" w:rsidP="007C303E">
            <w:pPr>
              <w:rPr>
                <w:highlight w:val="green"/>
              </w:rPr>
            </w:pPr>
            <w:r w:rsidRPr="005820AC">
              <w:rPr>
                <w:highlight w:val="green"/>
              </w:rPr>
              <w:t xml:space="preserve">Adopt the Rooney Rule where we will attempt to commit to having at least one woman and one under-represented minority in the slate of candidates considered for every open senior position, </w:t>
            </w:r>
            <w:r w:rsidR="00120C8A" w:rsidRPr="005820AC">
              <w:rPr>
                <w:highlight w:val="green"/>
              </w:rPr>
              <w:t>if</w:t>
            </w:r>
            <w:r w:rsidRPr="005820AC">
              <w:rPr>
                <w:highlight w:val="green"/>
              </w:rPr>
              <w:t xml:space="preserve"> the criteria for the </w:t>
            </w:r>
          </w:p>
          <w:p w14:paraId="78775764" w14:textId="1352FA17" w:rsidR="001E62AB" w:rsidRPr="005820AC" w:rsidRDefault="001B6EB0" w:rsidP="007C303E">
            <w:pPr>
              <w:rPr>
                <w:highlight w:val="green"/>
              </w:rPr>
            </w:pPr>
            <w:r w:rsidRPr="005820AC">
              <w:rPr>
                <w:highlight w:val="green"/>
              </w:rPr>
              <w:t>role is met.</w:t>
            </w:r>
          </w:p>
        </w:tc>
        <w:tc>
          <w:tcPr>
            <w:tcW w:w="3260" w:type="dxa"/>
          </w:tcPr>
          <w:p w14:paraId="15609C67" w14:textId="77777777" w:rsidR="001E62AB" w:rsidRPr="005820AC" w:rsidRDefault="0023488B" w:rsidP="007C303E">
            <w:pPr>
              <w:rPr>
                <w:highlight w:val="green"/>
              </w:rPr>
            </w:pPr>
            <w:r w:rsidRPr="005820AC">
              <w:rPr>
                <w:highlight w:val="green"/>
              </w:rPr>
              <w:t xml:space="preserve">Fair and equitable recruitment practices </w:t>
            </w:r>
          </w:p>
        </w:tc>
      </w:tr>
      <w:tr w:rsidR="001E62AB" w14:paraId="174D1E92" w14:textId="77777777" w:rsidTr="007C303E">
        <w:tc>
          <w:tcPr>
            <w:tcW w:w="1980" w:type="dxa"/>
            <w:vMerge/>
          </w:tcPr>
          <w:p w14:paraId="24E3D18D" w14:textId="77777777" w:rsidR="001E62AB" w:rsidRDefault="001E62AB" w:rsidP="007C303E"/>
        </w:tc>
        <w:tc>
          <w:tcPr>
            <w:tcW w:w="4111" w:type="dxa"/>
          </w:tcPr>
          <w:p w14:paraId="52EACE6F" w14:textId="77777777" w:rsidR="001E62AB" w:rsidRDefault="001E62AB" w:rsidP="007C303E">
            <w:r>
              <w:t>Invest resources in positive action initiatives aimed at improving BAME representation at levels showing gaps. This can include leadership development programmes, mentoring/shadowing opportunities and internal talent pipeline initiatives</w:t>
            </w:r>
          </w:p>
        </w:tc>
        <w:tc>
          <w:tcPr>
            <w:tcW w:w="4394" w:type="dxa"/>
          </w:tcPr>
          <w:p w14:paraId="14FE6BB7" w14:textId="77777777" w:rsidR="001E62AB" w:rsidRDefault="00A00633" w:rsidP="007C303E">
            <w:r>
              <w:t>Invest resources in positive action initiatives aimed at improving BAME representation at levels showing gaps. This can include paid internships and apprenticeships, leadership development programmes, mentoring/ shadowing/coaching opportunities and internal talent pipeline initiatives.</w:t>
            </w:r>
          </w:p>
        </w:tc>
        <w:tc>
          <w:tcPr>
            <w:tcW w:w="3260" w:type="dxa"/>
          </w:tcPr>
          <w:p w14:paraId="7F771AD3" w14:textId="77777777" w:rsidR="001E62AB" w:rsidRDefault="009A1AB3" w:rsidP="007C303E">
            <w:r>
              <w:t xml:space="preserve">Wider representation of BAME at all levels </w:t>
            </w:r>
          </w:p>
        </w:tc>
      </w:tr>
    </w:tbl>
    <w:p w14:paraId="4CF9BE1B" w14:textId="77777777" w:rsidR="007C303E" w:rsidRDefault="007C303E">
      <w:r>
        <w:br w:type="page"/>
      </w:r>
    </w:p>
    <w:tbl>
      <w:tblPr>
        <w:tblStyle w:val="TableGrid"/>
        <w:tblW w:w="0" w:type="auto"/>
        <w:tblLook w:val="04A0" w:firstRow="1" w:lastRow="0" w:firstColumn="1" w:lastColumn="0" w:noHBand="0" w:noVBand="1"/>
      </w:tblPr>
      <w:tblGrid>
        <w:gridCol w:w="1980"/>
        <w:gridCol w:w="4111"/>
        <w:gridCol w:w="5528"/>
        <w:gridCol w:w="2126"/>
      </w:tblGrid>
      <w:tr w:rsidR="00046468" w14:paraId="664AE65E" w14:textId="77777777" w:rsidTr="00120C8A">
        <w:tc>
          <w:tcPr>
            <w:tcW w:w="1980" w:type="dxa"/>
          </w:tcPr>
          <w:p w14:paraId="049A7BB8" w14:textId="718D18B5" w:rsidR="00046468" w:rsidRDefault="00046468" w:rsidP="007C303E">
            <w:r>
              <w:lastRenderedPageBreak/>
              <w:t>3. Communicate and engage</w:t>
            </w:r>
          </w:p>
        </w:tc>
        <w:tc>
          <w:tcPr>
            <w:tcW w:w="4111" w:type="dxa"/>
          </w:tcPr>
          <w:p w14:paraId="3588E98F" w14:textId="1916A753" w:rsidR="00046468" w:rsidRPr="007F23C8" w:rsidRDefault="00046468" w:rsidP="007C303E">
            <w:pPr>
              <w:rPr>
                <w:highlight w:val="green"/>
              </w:rPr>
            </w:pPr>
            <w:r w:rsidRPr="007F23C8">
              <w:rPr>
                <w:highlight w:val="green"/>
              </w:rPr>
              <w:t xml:space="preserve">Publicise your support for racial equality </w:t>
            </w:r>
            <w:r w:rsidR="00120C8A" w:rsidRPr="007F23C8">
              <w:rPr>
                <w:highlight w:val="green"/>
              </w:rPr>
              <w:t>including</w:t>
            </w:r>
            <w:r w:rsidRPr="007F23C8">
              <w:rPr>
                <w:highlight w:val="green"/>
              </w:rPr>
              <w:t xml:space="preserve"> voiced support for Black, </w:t>
            </w:r>
            <w:r w:rsidR="00120C8A" w:rsidRPr="007F23C8">
              <w:rPr>
                <w:highlight w:val="green"/>
              </w:rPr>
              <w:t>Asian,</w:t>
            </w:r>
            <w:r w:rsidRPr="007F23C8">
              <w:rPr>
                <w:highlight w:val="green"/>
              </w:rPr>
              <w:t xml:space="preserve"> and ethnic minority staff and tenants/communities, commitment to anti-racist practice and awareness of specific challenges facing your organisation or community</w:t>
            </w:r>
          </w:p>
        </w:tc>
        <w:tc>
          <w:tcPr>
            <w:tcW w:w="5528" w:type="dxa"/>
          </w:tcPr>
          <w:p w14:paraId="6074D0C3" w14:textId="24032193" w:rsidR="00046468" w:rsidRPr="007F23C8" w:rsidRDefault="00F1000C" w:rsidP="007C303E">
            <w:pPr>
              <w:autoSpaceDE w:val="0"/>
              <w:autoSpaceDN w:val="0"/>
              <w:adjustRightInd w:val="0"/>
              <w:rPr>
                <w:rFonts w:ascii="Calibri" w:hAnsi="Calibri" w:cs="Calibri"/>
                <w:highlight w:val="green"/>
              </w:rPr>
            </w:pPr>
            <w:r w:rsidRPr="007F23C8">
              <w:rPr>
                <w:rFonts w:ascii="Calibri" w:hAnsi="Calibri" w:cs="Calibri"/>
                <w:color w:val="000000" w:themeColor="text1"/>
                <w:highlight w:val="green"/>
              </w:rPr>
              <w:t xml:space="preserve">We will use our </w:t>
            </w:r>
            <w:r w:rsidR="00120C8A" w:rsidRPr="007F23C8">
              <w:rPr>
                <w:rFonts w:ascii="Calibri" w:hAnsi="Calibri" w:cs="Calibri"/>
                <w:color w:val="000000" w:themeColor="text1"/>
                <w:highlight w:val="green"/>
              </w:rPr>
              <w:t>intranet, website</w:t>
            </w:r>
            <w:r w:rsidRPr="007F23C8">
              <w:rPr>
                <w:rFonts w:ascii="Calibri" w:hAnsi="Calibri" w:cs="Calibri"/>
                <w:color w:val="000000" w:themeColor="text1"/>
                <w:highlight w:val="green"/>
              </w:rPr>
              <w:t xml:space="preserve"> </w:t>
            </w:r>
            <w:r w:rsidR="00120C8A" w:rsidRPr="007F23C8">
              <w:rPr>
                <w:rFonts w:ascii="Calibri" w:hAnsi="Calibri" w:cs="Calibri"/>
                <w:color w:val="000000" w:themeColor="text1"/>
                <w:highlight w:val="green"/>
              </w:rPr>
              <w:t>&amp; external</w:t>
            </w:r>
            <w:r w:rsidRPr="007F23C8">
              <w:rPr>
                <w:rFonts w:ascii="Calibri" w:hAnsi="Calibri" w:cs="Calibri"/>
                <w:color w:val="000000" w:themeColor="text1"/>
                <w:highlight w:val="green"/>
              </w:rPr>
              <w:t xml:space="preserve"> social media channels to raise awareness and publicly support all campaigns to end racial injustice</w:t>
            </w:r>
          </w:p>
        </w:tc>
        <w:tc>
          <w:tcPr>
            <w:tcW w:w="2126" w:type="dxa"/>
          </w:tcPr>
          <w:p w14:paraId="7C79C36B" w14:textId="77777777" w:rsidR="00046468" w:rsidRPr="007F23C8" w:rsidRDefault="0023488B" w:rsidP="007C303E">
            <w:pPr>
              <w:rPr>
                <w:highlight w:val="green"/>
              </w:rPr>
            </w:pPr>
            <w:r w:rsidRPr="007F23C8">
              <w:rPr>
                <w:highlight w:val="green"/>
              </w:rPr>
              <w:t xml:space="preserve">Sector support to eliminate racial inequality in housing </w:t>
            </w:r>
          </w:p>
        </w:tc>
      </w:tr>
      <w:tr w:rsidR="00046468" w14:paraId="3846A9FC" w14:textId="77777777" w:rsidTr="00120C8A">
        <w:tc>
          <w:tcPr>
            <w:tcW w:w="1980" w:type="dxa"/>
          </w:tcPr>
          <w:p w14:paraId="62747FC9" w14:textId="7161AC47" w:rsidR="00046468" w:rsidRDefault="00046468" w:rsidP="007C303E"/>
        </w:tc>
        <w:tc>
          <w:tcPr>
            <w:tcW w:w="4111" w:type="dxa"/>
          </w:tcPr>
          <w:p w14:paraId="2A57217B" w14:textId="77777777" w:rsidR="00046468" w:rsidRPr="004D654F" w:rsidRDefault="00046468" w:rsidP="007C303E">
            <w:pPr>
              <w:rPr>
                <w:highlight w:val="green"/>
              </w:rPr>
            </w:pPr>
            <w:r w:rsidRPr="004D654F">
              <w:rPr>
                <w:highlight w:val="green"/>
              </w:rPr>
              <w:t>Together with above - publish your commitment to take specific actions to tackle the challenges you identified. Report on progress annually.</w:t>
            </w:r>
          </w:p>
        </w:tc>
        <w:tc>
          <w:tcPr>
            <w:tcW w:w="5528" w:type="dxa"/>
          </w:tcPr>
          <w:p w14:paraId="6BAC2EE4" w14:textId="565CC2A1" w:rsidR="00046468" w:rsidRPr="004D654F" w:rsidRDefault="00BB50F2" w:rsidP="007C303E">
            <w:pPr>
              <w:rPr>
                <w:highlight w:val="green"/>
              </w:rPr>
            </w:pPr>
            <w:r w:rsidRPr="004D654F">
              <w:rPr>
                <w:highlight w:val="green"/>
              </w:rPr>
              <w:t xml:space="preserve">Develop an anti-racist </w:t>
            </w:r>
            <w:r w:rsidR="00120C8A" w:rsidRPr="004D654F">
              <w:rPr>
                <w:highlight w:val="green"/>
              </w:rPr>
              <w:t>statement.</w:t>
            </w:r>
            <w:r w:rsidRPr="004D654F">
              <w:rPr>
                <w:highlight w:val="green"/>
              </w:rPr>
              <w:t xml:space="preserve"> </w:t>
            </w:r>
          </w:p>
          <w:p w14:paraId="13327095" w14:textId="77777777" w:rsidR="00BB50F2" w:rsidRPr="004D654F" w:rsidRDefault="00BB50F2" w:rsidP="007C303E">
            <w:pPr>
              <w:rPr>
                <w:highlight w:val="green"/>
              </w:rPr>
            </w:pPr>
            <w:r w:rsidRPr="004D654F">
              <w:rPr>
                <w:highlight w:val="green"/>
              </w:rPr>
              <w:t xml:space="preserve">Report on progress against our action plan annually </w:t>
            </w:r>
          </w:p>
          <w:p w14:paraId="1115B343" w14:textId="77777777" w:rsidR="004A3392" w:rsidRPr="004D654F" w:rsidRDefault="004A3392" w:rsidP="007C303E">
            <w:pPr>
              <w:rPr>
                <w:highlight w:val="green"/>
              </w:rPr>
            </w:pPr>
          </w:p>
          <w:p w14:paraId="478FDE68" w14:textId="34DFE431" w:rsidR="004A3392" w:rsidRPr="004D654F" w:rsidRDefault="004A3392" w:rsidP="007C303E">
            <w:pPr>
              <w:rPr>
                <w:highlight w:val="green"/>
              </w:rPr>
            </w:pPr>
          </w:p>
        </w:tc>
        <w:tc>
          <w:tcPr>
            <w:tcW w:w="2126" w:type="dxa"/>
          </w:tcPr>
          <w:p w14:paraId="7554261A" w14:textId="77777777" w:rsidR="00046468" w:rsidRDefault="00046468" w:rsidP="007C303E"/>
        </w:tc>
      </w:tr>
      <w:tr w:rsidR="00046468" w14:paraId="754EA1E7" w14:textId="77777777" w:rsidTr="00120C8A">
        <w:tc>
          <w:tcPr>
            <w:tcW w:w="1980" w:type="dxa"/>
          </w:tcPr>
          <w:p w14:paraId="09F3E9D0" w14:textId="6A298926" w:rsidR="007C303E" w:rsidRDefault="007C303E" w:rsidP="007C303E"/>
        </w:tc>
        <w:tc>
          <w:tcPr>
            <w:tcW w:w="4111" w:type="dxa"/>
          </w:tcPr>
          <w:p w14:paraId="6D5D8C0E" w14:textId="77777777" w:rsidR="00046468" w:rsidRPr="007F23C8" w:rsidRDefault="00046468" w:rsidP="007C303E">
            <w:pPr>
              <w:rPr>
                <w:highlight w:val="green"/>
              </w:rPr>
            </w:pPr>
            <w:r w:rsidRPr="007F23C8">
              <w:rPr>
                <w:highlight w:val="green"/>
              </w:rPr>
              <w:t>Disaggregate ethnicity data in your tenant satisfaction surveys and other tenant surveys. Use other channels to learn about the experiences of BAME tenants. Act on findings.</w:t>
            </w:r>
          </w:p>
        </w:tc>
        <w:tc>
          <w:tcPr>
            <w:tcW w:w="5528" w:type="dxa"/>
          </w:tcPr>
          <w:p w14:paraId="38D2D778" w14:textId="77777777" w:rsidR="00046468" w:rsidRPr="007F23C8" w:rsidRDefault="00026ACD" w:rsidP="007C303E">
            <w:pPr>
              <w:autoSpaceDE w:val="0"/>
              <w:autoSpaceDN w:val="0"/>
              <w:adjustRightInd w:val="0"/>
              <w:rPr>
                <w:rFonts w:ascii="Calibri" w:hAnsi="Calibri" w:cs="Calibri"/>
                <w:color w:val="000000" w:themeColor="text1"/>
                <w:highlight w:val="green"/>
              </w:rPr>
            </w:pPr>
            <w:r w:rsidRPr="007F23C8">
              <w:rPr>
                <w:rFonts w:ascii="Calibri" w:hAnsi="Calibri" w:cs="Calibri"/>
                <w:color w:val="000000" w:themeColor="text1"/>
                <w:highlight w:val="green"/>
              </w:rPr>
              <w:t>Include questions within satisfaction surveys specifically in relation to experiences of underrepresented groups to both staff and tenants needs and want</w:t>
            </w:r>
            <w:r w:rsidR="00BB50F2" w:rsidRPr="007F23C8">
              <w:rPr>
                <w:rFonts w:ascii="Calibri" w:hAnsi="Calibri" w:cs="Calibri"/>
                <w:color w:val="000000" w:themeColor="text1"/>
                <w:highlight w:val="green"/>
              </w:rPr>
              <w:t>s</w:t>
            </w:r>
            <w:r w:rsidRPr="007F23C8">
              <w:rPr>
                <w:rFonts w:ascii="Calibri" w:hAnsi="Calibri" w:cs="Calibri"/>
                <w:color w:val="000000" w:themeColor="text1"/>
                <w:highlight w:val="green"/>
              </w:rPr>
              <w:t xml:space="preserve"> </w:t>
            </w:r>
            <w:r w:rsidR="00BB50F2" w:rsidRPr="007F23C8">
              <w:rPr>
                <w:rFonts w:ascii="Calibri" w:hAnsi="Calibri" w:cs="Calibri"/>
                <w:color w:val="000000" w:themeColor="text1"/>
                <w:highlight w:val="green"/>
              </w:rPr>
              <w:t>and gather</w:t>
            </w:r>
            <w:r w:rsidRPr="007F23C8">
              <w:rPr>
                <w:rFonts w:ascii="Calibri" w:hAnsi="Calibri" w:cs="Calibri"/>
                <w:color w:val="000000" w:themeColor="text1"/>
                <w:highlight w:val="green"/>
              </w:rPr>
              <w:t xml:space="preserve"> ideas on where we should be directing our efforts. </w:t>
            </w:r>
          </w:p>
          <w:p w14:paraId="0BA0DD1B" w14:textId="77777777" w:rsidR="00026ACD" w:rsidRPr="007F23C8" w:rsidRDefault="00026ACD" w:rsidP="007C303E">
            <w:pPr>
              <w:autoSpaceDE w:val="0"/>
              <w:autoSpaceDN w:val="0"/>
              <w:adjustRightInd w:val="0"/>
              <w:rPr>
                <w:rFonts w:ascii="Calibri" w:hAnsi="Calibri" w:cs="Calibri"/>
                <w:color w:val="000000" w:themeColor="text1"/>
                <w:highlight w:val="green"/>
              </w:rPr>
            </w:pPr>
          </w:p>
          <w:p w14:paraId="58BCD174" w14:textId="49EB9727" w:rsidR="00026ACD" w:rsidRPr="007F23C8" w:rsidRDefault="00026ACD" w:rsidP="007C303E">
            <w:pPr>
              <w:autoSpaceDE w:val="0"/>
              <w:autoSpaceDN w:val="0"/>
              <w:adjustRightInd w:val="0"/>
              <w:rPr>
                <w:rFonts w:ascii="Calibri" w:hAnsi="Calibri" w:cs="Calibri"/>
                <w:color w:val="000000" w:themeColor="text1"/>
                <w:highlight w:val="green"/>
              </w:rPr>
            </w:pPr>
            <w:r w:rsidRPr="007F23C8">
              <w:rPr>
                <w:rFonts w:ascii="Calibri" w:hAnsi="Calibri" w:cs="Calibri"/>
                <w:color w:val="000000" w:themeColor="text1"/>
                <w:highlight w:val="green"/>
              </w:rPr>
              <w:t xml:space="preserve">We will investigate our own performance in delivering services to </w:t>
            </w:r>
            <w:r w:rsidR="00120C8A" w:rsidRPr="007F23C8">
              <w:rPr>
                <w:rFonts w:ascii="Calibri" w:hAnsi="Calibri" w:cs="Calibri"/>
                <w:color w:val="000000" w:themeColor="text1"/>
                <w:highlight w:val="green"/>
              </w:rPr>
              <w:t xml:space="preserve">determine </w:t>
            </w:r>
            <w:r w:rsidRPr="007F23C8">
              <w:rPr>
                <w:rFonts w:ascii="Calibri" w:hAnsi="Calibri" w:cs="Calibri"/>
                <w:color w:val="000000" w:themeColor="text1"/>
                <w:highlight w:val="green"/>
              </w:rPr>
              <w:t>whether data suggests unconscious bias in how we let and manage our homes</w:t>
            </w:r>
          </w:p>
        </w:tc>
        <w:tc>
          <w:tcPr>
            <w:tcW w:w="2126" w:type="dxa"/>
          </w:tcPr>
          <w:p w14:paraId="5EBC351E" w14:textId="09838D44" w:rsidR="00046468" w:rsidRPr="007F23C8" w:rsidRDefault="00BB50F2" w:rsidP="007C303E">
            <w:pPr>
              <w:rPr>
                <w:highlight w:val="green"/>
              </w:rPr>
            </w:pPr>
            <w:r w:rsidRPr="007F23C8">
              <w:rPr>
                <w:highlight w:val="green"/>
              </w:rPr>
              <w:t xml:space="preserve">Learn from our own </w:t>
            </w:r>
            <w:r w:rsidR="00120C8A" w:rsidRPr="007F23C8">
              <w:rPr>
                <w:highlight w:val="green"/>
              </w:rPr>
              <w:t>and others</w:t>
            </w:r>
            <w:r w:rsidRPr="007F23C8">
              <w:rPr>
                <w:highlight w:val="green"/>
              </w:rPr>
              <w:t xml:space="preserve"> experiences of BAME groups and positively act upon findings </w:t>
            </w:r>
          </w:p>
        </w:tc>
      </w:tr>
      <w:tr w:rsidR="00046468" w14:paraId="67115AE9" w14:textId="77777777" w:rsidTr="00120C8A">
        <w:tc>
          <w:tcPr>
            <w:tcW w:w="1980" w:type="dxa"/>
          </w:tcPr>
          <w:p w14:paraId="64A60B3C" w14:textId="77777777" w:rsidR="00046468" w:rsidRDefault="00046468" w:rsidP="007C303E"/>
        </w:tc>
        <w:tc>
          <w:tcPr>
            <w:tcW w:w="4111" w:type="dxa"/>
          </w:tcPr>
          <w:p w14:paraId="5109E16D" w14:textId="77777777" w:rsidR="00046468" w:rsidRPr="00DF236C" w:rsidRDefault="00046468" w:rsidP="007C303E">
            <w:pPr>
              <w:rPr>
                <w:highlight w:val="green"/>
              </w:rPr>
            </w:pPr>
            <w:r w:rsidRPr="00DF236C">
              <w:rPr>
                <w:highlight w:val="green"/>
              </w:rPr>
              <w:t>Build links with and support BAME community groups in the area and beyond, invest in building their capacity to support local communities and bring in community knowledge and challenge to the organisation</w:t>
            </w:r>
          </w:p>
        </w:tc>
        <w:tc>
          <w:tcPr>
            <w:tcW w:w="5528" w:type="dxa"/>
          </w:tcPr>
          <w:p w14:paraId="0319EA45" w14:textId="77777777" w:rsidR="00026ACD" w:rsidRPr="00DF236C" w:rsidRDefault="00026ACD" w:rsidP="007C303E">
            <w:pPr>
              <w:autoSpaceDE w:val="0"/>
              <w:autoSpaceDN w:val="0"/>
              <w:adjustRightInd w:val="0"/>
              <w:rPr>
                <w:rFonts w:ascii="Arial" w:hAnsi="Arial" w:cs="Arial"/>
                <w:color w:val="000000" w:themeColor="text1"/>
                <w:highlight w:val="green"/>
              </w:rPr>
            </w:pPr>
            <w:r w:rsidRPr="00DF236C">
              <w:rPr>
                <w:rFonts w:cstheme="minorHAnsi"/>
                <w:color w:val="000000" w:themeColor="text1"/>
                <w:highlight w:val="green"/>
              </w:rPr>
              <w:t>Partner with Race Council Cymru to enhance links with community leaders</w:t>
            </w:r>
            <w:r w:rsidRPr="00DF236C">
              <w:rPr>
                <w:rFonts w:ascii="Arial" w:hAnsi="Arial" w:cs="Arial"/>
                <w:color w:val="000000" w:themeColor="text1"/>
                <w:highlight w:val="green"/>
              </w:rPr>
              <w:t>.</w:t>
            </w:r>
          </w:p>
          <w:p w14:paraId="143CFA1D" w14:textId="2664D70A" w:rsidR="00046468" w:rsidRPr="00DF236C" w:rsidRDefault="00046468" w:rsidP="007C303E">
            <w:pPr>
              <w:rPr>
                <w:highlight w:val="green"/>
              </w:rPr>
            </w:pPr>
          </w:p>
        </w:tc>
        <w:tc>
          <w:tcPr>
            <w:tcW w:w="2126" w:type="dxa"/>
          </w:tcPr>
          <w:p w14:paraId="0253E1FD" w14:textId="77777777" w:rsidR="00046468" w:rsidRPr="00DF236C" w:rsidRDefault="00BB50F2" w:rsidP="007C303E">
            <w:pPr>
              <w:rPr>
                <w:highlight w:val="green"/>
              </w:rPr>
            </w:pPr>
            <w:r w:rsidRPr="00DF236C">
              <w:rPr>
                <w:highlight w:val="green"/>
              </w:rPr>
              <w:t xml:space="preserve">Improved links with partner organisations </w:t>
            </w:r>
          </w:p>
        </w:tc>
      </w:tr>
      <w:tr w:rsidR="00046468" w14:paraId="086D18FF" w14:textId="77777777" w:rsidTr="00120C8A">
        <w:tc>
          <w:tcPr>
            <w:tcW w:w="1980" w:type="dxa"/>
          </w:tcPr>
          <w:p w14:paraId="1FD978BC" w14:textId="77777777" w:rsidR="00046468" w:rsidRDefault="00046468" w:rsidP="007C303E"/>
        </w:tc>
        <w:tc>
          <w:tcPr>
            <w:tcW w:w="4111" w:type="dxa"/>
          </w:tcPr>
          <w:p w14:paraId="74F997D7" w14:textId="77777777" w:rsidR="00046468" w:rsidRPr="00290068" w:rsidRDefault="00046468" w:rsidP="007C303E">
            <w:pPr>
              <w:rPr>
                <w:highlight w:val="green"/>
              </w:rPr>
            </w:pPr>
            <w:r w:rsidRPr="00290068">
              <w:rPr>
                <w:highlight w:val="green"/>
              </w:rPr>
              <w:t>In asylum dispersal areas, commit to donating or leasing housing to refugee housing initiatives (where these exist)</w:t>
            </w:r>
          </w:p>
        </w:tc>
        <w:tc>
          <w:tcPr>
            <w:tcW w:w="5528" w:type="dxa"/>
          </w:tcPr>
          <w:p w14:paraId="5BE0130E" w14:textId="77777777" w:rsidR="00120C8A" w:rsidRPr="00290068" w:rsidRDefault="00026ACD" w:rsidP="007C303E">
            <w:pPr>
              <w:rPr>
                <w:highlight w:val="green"/>
              </w:rPr>
            </w:pPr>
            <w:r w:rsidRPr="00290068">
              <w:rPr>
                <w:highlight w:val="green"/>
              </w:rPr>
              <w:t xml:space="preserve">N/A-As we are a specialist RSL The LA have 100% nomination rights over FCHA supported properties and our general needs properties are specifically developed for veterans or people with a physical disability. </w:t>
            </w:r>
          </w:p>
          <w:p w14:paraId="26430141" w14:textId="7A480BE8" w:rsidR="00046468" w:rsidRPr="00290068" w:rsidRDefault="00120C8A" w:rsidP="007C303E">
            <w:pPr>
              <w:rPr>
                <w:highlight w:val="green"/>
              </w:rPr>
            </w:pPr>
            <w:r w:rsidRPr="00290068">
              <w:rPr>
                <w:highlight w:val="green"/>
              </w:rPr>
              <w:t>However,</w:t>
            </w:r>
            <w:r w:rsidR="00026ACD" w:rsidRPr="00290068">
              <w:rPr>
                <w:highlight w:val="green"/>
              </w:rPr>
              <w:t xml:space="preserve"> we can positively seek to work with partners in our general needs areas to seek </w:t>
            </w:r>
            <w:r w:rsidR="00BB50F2" w:rsidRPr="00290068">
              <w:rPr>
                <w:highlight w:val="green"/>
              </w:rPr>
              <w:t>tenants from</w:t>
            </w:r>
            <w:r w:rsidR="00026ACD" w:rsidRPr="00290068">
              <w:rPr>
                <w:highlight w:val="green"/>
              </w:rPr>
              <w:t xml:space="preserve"> BAME backgrounds </w:t>
            </w:r>
            <w:r w:rsidR="00BB50F2" w:rsidRPr="00290068">
              <w:rPr>
                <w:highlight w:val="green"/>
              </w:rPr>
              <w:t>provided they fall within the specialist housing category.</w:t>
            </w:r>
          </w:p>
        </w:tc>
        <w:tc>
          <w:tcPr>
            <w:tcW w:w="2126" w:type="dxa"/>
          </w:tcPr>
          <w:p w14:paraId="7393CEB0" w14:textId="77777777" w:rsidR="00046468" w:rsidRDefault="00046468" w:rsidP="007C303E"/>
        </w:tc>
      </w:tr>
    </w:tbl>
    <w:p w14:paraId="063E4E9F" w14:textId="0BA532B9" w:rsidR="00120C8A" w:rsidRDefault="00120C8A"/>
    <w:tbl>
      <w:tblPr>
        <w:tblStyle w:val="TableGrid"/>
        <w:tblW w:w="0" w:type="auto"/>
        <w:tblLook w:val="04A0" w:firstRow="1" w:lastRow="0" w:firstColumn="1" w:lastColumn="0" w:noHBand="0" w:noVBand="1"/>
      </w:tblPr>
      <w:tblGrid>
        <w:gridCol w:w="1980"/>
        <w:gridCol w:w="4111"/>
        <w:gridCol w:w="4394"/>
        <w:gridCol w:w="3260"/>
      </w:tblGrid>
      <w:tr w:rsidR="009D6BB6" w:rsidRPr="007F23C8" w14:paraId="2DA6F426" w14:textId="77777777" w:rsidTr="007C303E">
        <w:tc>
          <w:tcPr>
            <w:tcW w:w="1980" w:type="dxa"/>
          </w:tcPr>
          <w:p w14:paraId="5C64A735" w14:textId="1306C849" w:rsidR="009D6BB6" w:rsidRPr="007F23C8" w:rsidRDefault="009D6BB6" w:rsidP="007C303E">
            <w:pPr>
              <w:rPr>
                <w:highlight w:val="green"/>
              </w:rPr>
            </w:pPr>
            <w:r w:rsidRPr="007F23C8">
              <w:rPr>
                <w:highlight w:val="green"/>
              </w:rPr>
              <w:t>4. Develop an inclusive culture</w:t>
            </w:r>
          </w:p>
        </w:tc>
        <w:tc>
          <w:tcPr>
            <w:tcW w:w="4111" w:type="dxa"/>
          </w:tcPr>
          <w:p w14:paraId="1C6F7B6A" w14:textId="77777777" w:rsidR="009D6BB6" w:rsidRPr="007F23C8" w:rsidRDefault="009D6BB6" w:rsidP="007C303E">
            <w:pPr>
              <w:rPr>
                <w:highlight w:val="green"/>
              </w:rPr>
            </w:pPr>
            <w:r w:rsidRPr="007F23C8">
              <w:rPr>
                <w:highlight w:val="green"/>
              </w:rPr>
              <w:t>Chief Executives, senior leaders and boards to take a proactive role in championing and monitoring progress on these pledges.</w:t>
            </w:r>
          </w:p>
        </w:tc>
        <w:tc>
          <w:tcPr>
            <w:tcW w:w="4394" w:type="dxa"/>
          </w:tcPr>
          <w:p w14:paraId="7BDE5F35" w14:textId="77777777" w:rsidR="009D6BB6" w:rsidRPr="007F23C8" w:rsidRDefault="009D6BB6" w:rsidP="007C303E">
            <w:pPr>
              <w:rPr>
                <w:highlight w:val="green"/>
              </w:rPr>
            </w:pPr>
            <w:r w:rsidRPr="007F23C8">
              <w:rPr>
                <w:highlight w:val="green"/>
              </w:rPr>
              <w:t xml:space="preserve">Board and Exec promote and champion the Deeds to Words Pledge with all staff </w:t>
            </w:r>
          </w:p>
          <w:p w14:paraId="1CF75BF5" w14:textId="77777777" w:rsidR="009D6BB6" w:rsidRPr="007F23C8" w:rsidRDefault="009D6BB6" w:rsidP="007C303E">
            <w:pPr>
              <w:rPr>
                <w:highlight w:val="green"/>
              </w:rPr>
            </w:pPr>
          </w:p>
          <w:p w14:paraId="588F8877" w14:textId="77777777" w:rsidR="009D6BB6" w:rsidRPr="007F23C8" w:rsidRDefault="009D6BB6" w:rsidP="007C303E">
            <w:pPr>
              <w:rPr>
                <w:highlight w:val="green"/>
              </w:rPr>
            </w:pPr>
            <w:r w:rsidRPr="007F23C8">
              <w:rPr>
                <w:highlight w:val="green"/>
              </w:rPr>
              <w:t xml:space="preserve">Board and Exec to undertake Race Equality questionnaire looking at diversity , representation and leadership of the Association </w:t>
            </w:r>
          </w:p>
          <w:p w14:paraId="15731B7E" w14:textId="77777777" w:rsidR="009D6BB6" w:rsidRPr="007F23C8" w:rsidRDefault="009D6BB6" w:rsidP="007C303E">
            <w:pPr>
              <w:rPr>
                <w:highlight w:val="green"/>
              </w:rPr>
            </w:pPr>
          </w:p>
          <w:p w14:paraId="7BF27794" w14:textId="77777777" w:rsidR="009D6BB6" w:rsidRPr="007F23C8" w:rsidRDefault="009D6BB6" w:rsidP="007C303E">
            <w:pPr>
              <w:rPr>
                <w:highlight w:val="green"/>
              </w:rPr>
            </w:pPr>
            <w:r w:rsidRPr="007F23C8">
              <w:rPr>
                <w:highlight w:val="green"/>
              </w:rPr>
              <w:t xml:space="preserve">Tai Pawb presentation on Board Diversity to be made available via Decision Time </w:t>
            </w:r>
          </w:p>
          <w:p w14:paraId="1FE25B8F" w14:textId="77777777" w:rsidR="009D6BB6" w:rsidRPr="007F23C8" w:rsidRDefault="009D6BB6" w:rsidP="007C303E">
            <w:pPr>
              <w:rPr>
                <w:highlight w:val="green"/>
              </w:rPr>
            </w:pPr>
          </w:p>
          <w:p w14:paraId="49DF3AEA" w14:textId="77777777" w:rsidR="009D6BB6" w:rsidRPr="007F23C8" w:rsidRDefault="009D6BB6" w:rsidP="007C303E">
            <w:pPr>
              <w:autoSpaceDE w:val="0"/>
              <w:autoSpaceDN w:val="0"/>
              <w:adjustRightInd w:val="0"/>
              <w:rPr>
                <w:rFonts w:cstheme="minorHAnsi"/>
                <w:highlight w:val="green"/>
              </w:rPr>
            </w:pPr>
            <w:r w:rsidRPr="007F23C8">
              <w:rPr>
                <w:rFonts w:cstheme="minorHAnsi"/>
                <w:color w:val="000000" w:themeColor="text1"/>
                <w:highlight w:val="green"/>
              </w:rPr>
              <w:t>The Board and Executive Committee to receive regular updates on progress. We will ensure all Board reports consider the impact on equality and diversity and all policies and strategies consider an Equality Impact Assessment.</w:t>
            </w:r>
          </w:p>
        </w:tc>
        <w:tc>
          <w:tcPr>
            <w:tcW w:w="3260" w:type="dxa"/>
          </w:tcPr>
          <w:p w14:paraId="13E4052B" w14:textId="77777777" w:rsidR="009D6BB6" w:rsidRPr="007F23C8" w:rsidRDefault="00B6727B" w:rsidP="007C303E">
            <w:pPr>
              <w:rPr>
                <w:highlight w:val="green"/>
              </w:rPr>
            </w:pPr>
            <w:r w:rsidRPr="007F23C8">
              <w:rPr>
                <w:highlight w:val="green"/>
              </w:rPr>
              <w:t xml:space="preserve">Full commitment by Board and Senior to deliver on the pledge </w:t>
            </w:r>
          </w:p>
        </w:tc>
      </w:tr>
    </w:tbl>
    <w:p w14:paraId="4DF952EA" w14:textId="77777777" w:rsidR="00120C8A" w:rsidRDefault="00120C8A">
      <w:r>
        <w:br w:type="page"/>
      </w:r>
    </w:p>
    <w:tbl>
      <w:tblPr>
        <w:tblStyle w:val="TableGrid"/>
        <w:tblW w:w="0" w:type="auto"/>
        <w:tblLook w:val="04A0" w:firstRow="1" w:lastRow="0" w:firstColumn="1" w:lastColumn="0" w:noHBand="0" w:noVBand="1"/>
      </w:tblPr>
      <w:tblGrid>
        <w:gridCol w:w="1980"/>
        <w:gridCol w:w="4111"/>
        <w:gridCol w:w="4394"/>
        <w:gridCol w:w="3260"/>
      </w:tblGrid>
      <w:tr w:rsidR="009D6BB6" w14:paraId="5ED69D21" w14:textId="77777777" w:rsidTr="007C303E">
        <w:tc>
          <w:tcPr>
            <w:tcW w:w="1980" w:type="dxa"/>
          </w:tcPr>
          <w:p w14:paraId="78F1321D" w14:textId="7A7DFA54" w:rsidR="009D6BB6" w:rsidRDefault="009D6BB6" w:rsidP="007C303E"/>
        </w:tc>
        <w:tc>
          <w:tcPr>
            <w:tcW w:w="4111" w:type="dxa"/>
          </w:tcPr>
          <w:p w14:paraId="581C7A58" w14:textId="77777777" w:rsidR="009D6BB6" w:rsidRPr="001C2F06" w:rsidRDefault="009D6BB6" w:rsidP="007C303E">
            <w:pPr>
              <w:rPr>
                <w:highlight w:val="green"/>
              </w:rPr>
            </w:pPr>
            <w:r w:rsidRPr="001C2F06">
              <w:rPr>
                <w:highlight w:val="green"/>
              </w:rPr>
              <w:t>Chief Executives, senior leaders and boards to actively support and promote an inclusive culture where people are comfortable talking about race and can bring their whole self to work</w:t>
            </w:r>
          </w:p>
        </w:tc>
        <w:tc>
          <w:tcPr>
            <w:tcW w:w="4394" w:type="dxa"/>
          </w:tcPr>
          <w:p w14:paraId="578E6CE4" w14:textId="77777777" w:rsidR="009D6BB6" w:rsidRPr="001C2F06" w:rsidRDefault="009D6BB6" w:rsidP="007C303E">
            <w:pPr>
              <w:rPr>
                <w:highlight w:val="green"/>
              </w:rPr>
            </w:pPr>
            <w:r w:rsidRPr="001C2F06">
              <w:rPr>
                <w:highlight w:val="green"/>
              </w:rPr>
              <w:t xml:space="preserve">Share reading materials , videos , podcasts and other resources available from Tai Pawb with staff and where appropriate tenants </w:t>
            </w:r>
          </w:p>
          <w:p w14:paraId="00F63D4C" w14:textId="77777777" w:rsidR="005D607A" w:rsidRPr="001C2F06" w:rsidRDefault="005D607A" w:rsidP="007C303E">
            <w:pPr>
              <w:rPr>
                <w:highlight w:val="green"/>
              </w:rPr>
            </w:pPr>
          </w:p>
          <w:p w14:paraId="490B2D25" w14:textId="21FAB936" w:rsidR="009D6BB6" w:rsidRPr="001C2F06" w:rsidRDefault="009D6BB6" w:rsidP="00120C8A">
            <w:pPr>
              <w:autoSpaceDE w:val="0"/>
              <w:autoSpaceDN w:val="0"/>
              <w:adjustRightInd w:val="0"/>
              <w:rPr>
                <w:rFonts w:cstheme="minorHAnsi"/>
                <w:color w:val="000000" w:themeColor="text1"/>
                <w:highlight w:val="green"/>
              </w:rPr>
            </w:pPr>
            <w:r w:rsidRPr="001C2F06">
              <w:rPr>
                <w:rFonts w:cstheme="minorHAnsi"/>
                <w:color w:val="000000" w:themeColor="text1"/>
                <w:highlight w:val="green"/>
              </w:rPr>
              <w:t xml:space="preserve">Our responsibility as a business is to </w:t>
            </w:r>
            <w:r w:rsidR="00120C8A" w:rsidRPr="001C2F06">
              <w:rPr>
                <w:rFonts w:cstheme="minorHAnsi"/>
                <w:color w:val="000000" w:themeColor="text1"/>
                <w:highlight w:val="green"/>
              </w:rPr>
              <w:t xml:space="preserve">be </w:t>
            </w:r>
            <w:r w:rsidRPr="001C2F06">
              <w:rPr>
                <w:rFonts w:cstheme="minorHAnsi"/>
                <w:color w:val="000000" w:themeColor="text1"/>
                <w:highlight w:val="green"/>
              </w:rPr>
              <w:t>clear about behaviours and be willing to</w:t>
            </w:r>
            <w:r w:rsidR="00120C8A" w:rsidRPr="001C2F06">
              <w:rPr>
                <w:rFonts w:cstheme="minorHAnsi"/>
                <w:color w:val="000000" w:themeColor="text1"/>
                <w:highlight w:val="green"/>
              </w:rPr>
              <w:t xml:space="preserve"> </w:t>
            </w:r>
            <w:r w:rsidRPr="001C2F06">
              <w:rPr>
                <w:rFonts w:cstheme="minorHAnsi"/>
                <w:color w:val="000000" w:themeColor="text1"/>
                <w:highlight w:val="green"/>
              </w:rPr>
              <w:t>challenge. The Chair, Chief Executive and Senior Leadership Team will all model</w:t>
            </w:r>
            <w:r w:rsidR="00120C8A" w:rsidRPr="001C2F06">
              <w:rPr>
                <w:rFonts w:cstheme="minorHAnsi"/>
                <w:color w:val="000000" w:themeColor="text1"/>
                <w:highlight w:val="green"/>
              </w:rPr>
              <w:t xml:space="preserve"> </w:t>
            </w:r>
            <w:r w:rsidRPr="001C2F06">
              <w:rPr>
                <w:rFonts w:cstheme="minorHAnsi"/>
                <w:color w:val="000000" w:themeColor="text1"/>
                <w:highlight w:val="green"/>
              </w:rPr>
              <w:t>behaviours by having open, honest discussions with their teams and by being</w:t>
            </w:r>
            <w:r w:rsidR="00120C8A" w:rsidRPr="001C2F06">
              <w:rPr>
                <w:rFonts w:cstheme="minorHAnsi"/>
                <w:color w:val="000000" w:themeColor="text1"/>
                <w:highlight w:val="green"/>
              </w:rPr>
              <w:t xml:space="preserve"> </w:t>
            </w:r>
            <w:r w:rsidRPr="001C2F06">
              <w:rPr>
                <w:rFonts w:cstheme="minorHAnsi"/>
                <w:color w:val="000000" w:themeColor="text1"/>
                <w:highlight w:val="green"/>
              </w:rPr>
              <w:t>visible to the business.</w:t>
            </w:r>
          </w:p>
          <w:p w14:paraId="4CCFB524" w14:textId="77777777" w:rsidR="009D6BB6" w:rsidRPr="001C2F06" w:rsidRDefault="009D6BB6" w:rsidP="007C303E">
            <w:pPr>
              <w:rPr>
                <w:rFonts w:cstheme="minorHAnsi"/>
                <w:color w:val="000000" w:themeColor="text1"/>
                <w:highlight w:val="green"/>
              </w:rPr>
            </w:pPr>
          </w:p>
          <w:p w14:paraId="5764F19B" w14:textId="77777777" w:rsidR="009D6BB6" w:rsidRPr="001C2F06" w:rsidRDefault="009D6BB6" w:rsidP="007C303E">
            <w:pPr>
              <w:autoSpaceDE w:val="0"/>
              <w:autoSpaceDN w:val="0"/>
              <w:adjustRightInd w:val="0"/>
              <w:rPr>
                <w:rFonts w:cstheme="minorHAnsi"/>
                <w:color w:val="000000" w:themeColor="text1"/>
                <w:highlight w:val="green"/>
              </w:rPr>
            </w:pPr>
            <w:r w:rsidRPr="001C2F06">
              <w:rPr>
                <w:rFonts w:cstheme="minorHAnsi"/>
                <w:color w:val="000000" w:themeColor="text1"/>
                <w:highlight w:val="green"/>
              </w:rPr>
              <w:t>We will invest in education and learning</w:t>
            </w:r>
          </w:p>
          <w:p w14:paraId="5695A4BE" w14:textId="77777777" w:rsidR="009D6BB6" w:rsidRPr="001C2F06" w:rsidRDefault="009D6BB6" w:rsidP="007C303E">
            <w:pPr>
              <w:autoSpaceDE w:val="0"/>
              <w:autoSpaceDN w:val="0"/>
              <w:adjustRightInd w:val="0"/>
              <w:rPr>
                <w:rFonts w:cstheme="minorHAnsi"/>
                <w:color w:val="000000" w:themeColor="text1"/>
                <w:highlight w:val="green"/>
              </w:rPr>
            </w:pPr>
            <w:r w:rsidRPr="001C2F06">
              <w:rPr>
                <w:rFonts w:cstheme="minorHAnsi"/>
                <w:color w:val="000000" w:themeColor="text1"/>
                <w:highlight w:val="green"/>
              </w:rPr>
              <w:t>to open people’s minds and promote</w:t>
            </w:r>
          </w:p>
          <w:p w14:paraId="45DDFA45" w14:textId="77777777" w:rsidR="009D6BB6" w:rsidRPr="001C2F06" w:rsidRDefault="009D6BB6" w:rsidP="007C303E">
            <w:pPr>
              <w:rPr>
                <w:rFonts w:ascii="SofiaPro-Light" w:hAnsi="SofiaPro-Light" w:cs="SofiaPro-Light"/>
                <w:color w:val="000000" w:themeColor="text1"/>
                <w:sz w:val="28"/>
                <w:szCs w:val="28"/>
                <w:highlight w:val="green"/>
              </w:rPr>
            </w:pPr>
            <w:r w:rsidRPr="001C2F06">
              <w:rPr>
                <w:rFonts w:cstheme="minorHAnsi"/>
                <w:color w:val="000000" w:themeColor="text1"/>
                <w:highlight w:val="green"/>
              </w:rPr>
              <w:t>thinking</w:t>
            </w:r>
            <w:r w:rsidRPr="001C2F06">
              <w:rPr>
                <w:rFonts w:ascii="SofiaPro-Light" w:hAnsi="SofiaPro-Light" w:cs="SofiaPro-Light"/>
                <w:color w:val="000000" w:themeColor="text1"/>
                <w:sz w:val="28"/>
                <w:szCs w:val="28"/>
                <w:highlight w:val="green"/>
              </w:rPr>
              <w:t>.</w:t>
            </w:r>
          </w:p>
          <w:p w14:paraId="0A3B8A70" w14:textId="5C785018" w:rsidR="009D6BB6" w:rsidRPr="001C2F06" w:rsidRDefault="009D6BB6" w:rsidP="00120C8A">
            <w:pPr>
              <w:autoSpaceDE w:val="0"/>
              <w:autoSpaceDN w:val="0"/>
              <w:adjustRightInd w:val="0"/>
              <w:rPr>
                <w:rFonts w:cstheme="minorHAnsi"/>
                <w:color w:val="000000" w:themeColor="text1"/>
                <w:highlight w:val="green"/>
              </w:rPr>
            </w:pPr>
            <w:r w:rsidRPr="001C2F06">
              <w:rPr>
                <w:rFonts w:cstheme="minorHAnsi"/>
                <w:color w:val="000000" w:themeColor="text1"/>
                <w:highlight w:val="green"/>
              </w:rPr>
              <w:t xml:space="preserve">We will work with external organisations who have expert knowledge in this </w:t>
            </w:r>
            <w:r w:rsidR="00120C8A" w:rsidRPr="001C2F06">
              <w:rPr>
                <w:rFonts w:cstheme="minorHAnsi"/>
                <w:color w:val="000000" w:themeColor="text1"/>
                <w:highlight w:val="green"/>
              </w:rPr>
              <w:t xml:space="preserve">area </w:t>
            </w:r>
            <w:r w:rsidRPr="001C2F06">
              <w:rPr>
                <w:rFonts w:cstheme="minorHAnsi"/>
                <w:color w:val="000000" w:themeColor="text1"/>
                <w:highlight w:val="green"/>
              </w:rPr>
              <w:t>to provide support and advice</w:t>
            </w:r>
            <w:r w:rsidR="00120C8A" w:rsidRPr="001C2F06">
              <w:rPr>
                <w:rFonts w:cstheme="minorHAnsi"/>
                <w:color w:val="000000" w:themeColor="text1"/>
                <w:highlight w:val="green"/>
              </w:rPr>
              <w:t>.</w:t>
            </w:r>
          </w:p>
          <w:p w14:paraId="293A98B2" w14:textId="77777777" w:rsidR="009D6BB6" w:rsidRPr="001C2F06" w:rsidRDefault="009D6BB6" w:rsidP="007C303E">
            <w:pPr>
              <w:rPr>
                <w:highlight w:val="green"/>
              </w:rPr>
            </w:pPr>
          </w:p>
        </w:tc>
        <w:tc>
          <w:tcPr>
            <w:tcW w:w="3260" w:type="dxa"/>
          </w:tcPr>
          <w:p w14:paraId="4800AC5F" w14:textId="77777777" w:rsidR="009D6BB6" w:rsidRPr="001C2F06" w:rsidRDefault="00365C8E" w:rsidP="007C303E">
            <w:pPr>
              <w:rPr>
                <w:highlight w:val="green"/>
              </w:rPr>
            </w:pPr>
            <w:r w:rsidRPr="001C2F06">
              <w:rPr>
                <w:highlight w:val="green"/>
              </w:rPr>
              <w:t xml:space="preserve">FCHA has an inclusive culture for staff and tenants to actively strive for a diverse community within the organisation  </w:t>
            </w:r>
          </w:p>
          <w:p w14:paraId="53BE439E" w14:textId="77777777" w:rsidR="00365C8E" w:rsidRPr="001C2F06" w:rsidRDefault="00365C8E" w:rsidP="007C303E">
            <w:pPr>
              <w:rPr>
                <w:highlight w:val="green"/>
              </w:rPr>
            </w:pPr>
          </w:p>
          <w:p w14:paraId="4534EB0D" w14:textId="71B20E54" w:rsidR="00365C8E" w:rsidRPr="001C2F06" w:rsidRDefault="00365C8E" w:rsidP="007C303E">
            <w:pPr>
              <w:rPr>
                <w:highlight w:val="green"/>
              </w:rPr>
            </w:pPr>
            <w:r w:rsidRPr="001C2F06">
              <w:rPr>
                <w:highlight w:val="green"/>
              </w:rPr>
              <w:t xml:space="preserve">Assurance we act in accordance with FCHA </w:t>
            </w:r>
            <w:r w:rsidR="00120C8A" w:rsidRPr="001C2F06">
              <w:rPr>
                <w:highlight w:val="green"/>
              </w:rPr>
              <w:t>Values.</w:t>
            </w:r>
            <w:r w:rsidRPr="001C2F06">
              <w:rPr>
                <w:highlight w:val="green"/>
              </w:rPr>
              <w:t xml:space="preserve"> </w:t>
            </w:r>
          </w:p>
          <w:p w14:paraId="1A2A25B8" w14:textId="77777777" w:rsidR="00DD04A3" w:rsidRPr="001C2F06" w:rsidRDefault="00DD04A3" w:rsidP="007C303E">
            <w:pPr>
              <w:rPr>
                <w:highlight w:val="green"/>
              </w:rPr>
            </w:pPr>
          </w:p>
          <w:p w14:paraId="5DF5CF12" w14:textId="77777777" w:rsidR="00DD04A3" w:rsidRPr="001C2F06" w:rsidRDefault="00DD04A3" w:rsidP="007C303E">
            <w:pPr>
              <w:rPr>
                <w:highlight w:val="green"/>
              </w:rPr>
            </w:pPr>
          </w:p>
          <w:p w14:paraId="3A15CD77" w14:textId="77777777" w:rsidR="00DD04A3" w:rsidRPr="001C2F06" w:rsidRDefault="00DD04A3" w:rsidP="007C303E">
            <w:pPr>
              <w:rPr>
                <w:highlight w:val="green"/>
              </w:rPr>
            </w:pPr>
          </w:p>
          <w:p w14:paraId="71782598" w14:textId="77777777" w:rsidR="00DD04A3" w:rsidRPr="001C2F06" w:rsidRDefault="00DD04A3" w:rsidP="007C303E">
            <w:pPr>
              <w:rPr>
                <w:highlight w:val="green"/>
              </w:rPr>
            </w:pPr>
          </w:p>
          <w:p w14:paraId="2947307B" w14:textId="2B0A4B51" w:rsidR="00DD04A3" w:rsidRPr="001C2F06" w:rsidRDefault="00DD04A3" w:rsidP="007C303E">
            <w:pPr>
              <w:rPr>
                <w:highlight w:val="green"/>
              </w:rPr>
            </w:pPr>
          </w:p>
          <w:p w14:paraId="44F81F31" w14:textId="77777777" w:rsidR="00120C8A" w:rsidRPr="001C2F06" w:rsidRDefault="00120C8A" w:rsidP="007C303E">
            <w:pPr>
              <w:rPr>
                <w:highlight w:val="green"/>
              </w:rPr>
            </w:pPr>
          </w:p>
          <w:p w14:paraId="2B1BA6B1" w14:textId="77777777" w:rsidR="00DD04A3" w:rsidRPr="001C2F06" w:rsidRDefault="00DD04A3" w:rsidP="007C303E">
            <w:pPr>
              <w:rPr>
                <w:highlight w:val="green"/>
              </w:rPr>
            </w:pPr>
            <w:r w:rsidRPr="001C2F06">
              <w:rPr>
                <w:highlight w:val="green"/>
              </w:rPr>
              <w:t xml:space="preserve">Raised awareness within FCHA to avoid stereotyping, unconscious bias and common misconceptions. </w:t>
            </w:r>
          </w:p>
        </w:tc>
      </w:tr>
      <w:tr w:rsidR="001D685F" w:rsidRPr="001D685F" w14:paraId="57786148" w14:textId="77777777" w:rsidTr="007C303E">
        <w:tc>
          <w:tcPr>
            <w:tcW w:w="1980" w:type="dxa"/>
          </w:tcPr>
          <w:p w14:paraId="6A56EA1B" w14:textId="77777777" w:rsidR="00046468" w:rsidRPr="001D685F" w:rsidRDefault="00046468" w:rsidP="007C303E">
            <w:pPr>
              <w:rPr>
                <w:rFonts w:cstheme="minorHAnsi"/>
                <w:color w:val="000000" w:themeColor="text1"/>
              </w:rPr>
            </w:pPr>
          </w:p>
        </w:tc>
        <w:tc>
          <w:tcPr>
            <w:tcW w:w="4111" w:type="dxa"/>
          </w:tcPr>
          <w:p w14:paraId="235FF5F6" w14:textId="77777777" w:rsidR="00046468" w:rsidRPr="001D685F" w:rsidRDefault="00046468" w:rsidP="007C303E">
            <w:pPr>
              <w:rPr>
                <w:rFonts w:cstheme="minorHAnsi"/>
                <w:color w:val="000000" w:themeColor="text1"/>
              </w:rPr>
            </w:pPr>
            <w:r w:rsidRPr="001C2F06">
              <w:rPr>
                <w:rFonts w:cstheme="minorHAnsi"/>
                <w:color w:val="000000" w:themeColor="text1"/>
                <w:highlight w:val="green"/>
              </w:rPr>
              <w:t>Actively support and promote a culture where Black, Asian and Ethnic Minority staff and tenants are comfortable to voice concerns related to race and are believed when this happens</w:t>
            </w:r>
          </w:p>
        </w:tc>
        <w:tc>
          <w:tcPr>
            <w:tcW w:w="4394" w:type="dxa"/>
          </w:tcPr>
          <w:p w14:paraId="336BA447" w14:textId="77777777" w:rsidR="001D685F" w:rsidRPr="00290068" w:rsidRDefault="001D685F" w:rsidP="007C303E">
            <w:pPr>
              <w:autoSpaceDE w:val="0"/>
              <w:autoSpaceDN w:val="0"/>
              <w:adjustRightInd w:val="0"/>
              <w:rPr>
                <w:rFonts w:cstheme="minorHAnsi"/>
                <w:color w:val="000000" w:themeColor="text1"/>
                <w:highlight w:val="green"/>
              </w:rPr>
            </w:pPr>
            <w:r w:rsidRPr="00290068">
              <w:rPr>
                <w:rFonts w:cstheme="minorHAnsi"/>
                <w:color w:val="000000" w:themeColor="text1"/>
                <w:highlight w:val="green"/>
              </w:rPr>
              <w:t>Rolling out e-learning to colleagues on unconscious bias.</w:t>
            </w:r>
          </w:p>
          <w:p w14:paraId="4389FD54" w14:textId="77777777" w:rsidR="001D685F" w:rsidRPr="00290068" w:rsidRDefault="001D685F" w:rsidP="007C303E">
            <w:pPr>
              <w:autoSpaceDE w:val="0"/>
              <w:autoSpaceDN w:val="0"/>
              <w:adjustRightInd w:val="0"/>
              <w:rPr>
                <w:rFonts w:cstheme="minorHAnsi"/>
                <w:color w:val="000000" w:themeColor="text1"/>
                <w:highlight w:val="green"/>
              </w:rPr>
            </w:pPr>
            <w:r w:rsidRPr="00290068">
              <w:rPr>
                <w:rFonts w:cstheme="minorHAnsi"/>
                <w:color w:val="000000" w:themeColor="text1"/>
                <w:highlight w:val="green"/>
              </w:rPr>
              <w:t>Use experts in the field and guest speakers to give a further understanding of ethnic minority groups to reduce misconceptions and stereotyping.</w:t>
            </w:r>
          </w:p>
          <w:p w14:paraId="1FC84893" w14:textId="77777777" w:rsidR="001D685F" w:rsidRPr="00290068" w:rsidRDefault="001D685F" w:rsidP="007C303E">
            <w:pPr>
              <w:autoSpaceDE w:val="0"/>
              <w:autoSpaceDN w:val="0"/>
              <w:adjustRightInd w:val="0"/>
              <w:rPr>
                <w:rFonts w:cstheme="minorHAnsi"/>
                <w:color w:val="000000" w:themeColor="text1"/>
                <w:highlight w:val="green"/>
              </w:rPr>
            </w:pPr>
          </w:p>
          <w:p w14:paraId="6194E6B3" w14:textId="77777777" w:rsidR="001D685F" w:rsidRPr="00290068" w:rsidRDefault="001D685F" w:rsidP="007C303E">
            <w:pPr>
              <w:autoSpaceDE w:val="0"/>
              <w:autoSpaceDN w:val="0"/>
              <w:adjustRightInd w:val="0"/>
              <w:rPr>
                <w:rFonts w:cstheme="minorHAnsi"/>
                <w:color w:val="000000" w:themeColor="text1"/>
                <w:highlight w:val="green"/>
              </w:rPr>
            </w:pPr>
            <w:r w:rsidRPr="00290068">
              <w:rPr>
                <w:rFonts w:cstheme="minorHAnsi"/>
                <w:color w:val="000000" w:themeColor="text1"/>
                <w:highlight w:val="green"/>
              </w:rPr>
              <w:t>Promote our Grievance, Whistleblowing and Complaints polices to ensure there is</w:t>
            </w:r>
          </w:p>
          <w:p w14:paraId="28633CD1" w14:textId="77777777" w:rsidR="001D685F" w:rsidRPr="00290068" w:rsidRDefault="001D685F" w:rsidP="007C303E">
            <w:pPr>
              <w:autoSpaceDE w:val="0"/>
              <w:autoSpaceDN w:val="0"/>
              <w:adjustRightInd w:val="0"/>
              <w:rPr>
                <w:rFonts w:cstheme="minorHAnsi"/>
                <w:color w:val="000000" w:themeColor="text1"/>
                <w:highlight w:val="green"/>
              </w:rPr>
            </w:pPr>
            <w:r w:rsidRPr="00290068">
              <w:rPr>
                <w:rFonts w:cstheme="minorHAnsi"/>
                <w:color w:val="000000" w:themeColor="text1"/>
                <w:highlight w:val="green"/>
              </w:rPr>
              <w:t>an easy to understand route for colleagues and customers to follow should they</w:t>
            </w:r>
          </w:p>
          <w:p w14:paraId="0220E4F6" w14:textId="77777777" w:rsidR="001D685F" w:rsidRPr="00290068" w:rsidRDefault="001D685F" w:rsidP="007C303E">
            <w:pPr>
              <w:autoSpaceDE w:val="0"/>
              <w:autoSpaceDN w:val="0"/>
              <w:adjustRightInd w:val="0"/>
              <w:rPr>
                <w:rFonts w:cstheme="minorHAnsi"/>
                <w:color w:val="000000" w:themeColor="text1"/>
                <w:highlight w:val="green"/>
              </w:rPr>
            </w:pPr>
            <w:r w:rsidRPr="00290068">
              <w:rPr>
                <w:rFonts w:cstheme="minorHAnsi"/>
                <w:color w:val="000000" w:themeColor="text1"/>
                <w:highlight w:val="green"/>
              </w:rPr>
              <w:t>feel they have concerns regarding race issues.</w:t>
            </w:r>
          </w:p>
          <w:p w14:paraId="42FC6C56" w14:textId="77777777" w:rsidR="001D685F" w:rsidRPr="00290068" w:rsidRDefault="001D685F" w:rsidP="007C303E">
            <w:pPr>
              <w:autoSpaceDE w:val="0"/>
              <w:autoSpaceDN w:val="0"/>
              <w:adjustRightInd w:val="0"/>
              <w:rPr>
                <w:rFonts w:cstheme="minorHAnsi"/>
                <w:color w:val="000000" w:themeColor="text1"/>
                <w:highlight w:val="green"/>
              </w:rPr>
            </w:pPr>
          </w:p>
          <w:p w14:paraId="68D4F735" w14:textId="77777777" w:rsidR="001D685F" w:rsidRDefault="001D685F" w:rsidP="007C303E">
            <w:pPr>
              <w:autoSpaceDE w:val="0"/>
              <w:autoSpaceDN w:val="0"/>
              <w:adjustRightInd w:val="0"/>
              <w:rPr>
                <w:rFonts w:cstheme="minorHAnsi"/>
                <w:color w:val="000000" w:themeColor="text1"/>
              </w:rPr>
            </w:pPr>
            <w:r w:rsidRPr="00290068">
              <w:rPr>
                <w:rFonts w:cstheme="minorHAnsi"/>
                <w:color w:val="000000" w:themeColor="text1"/>
                <w:highlight w:val="green"/>
              </w:rPr>
              <w:t xml:space="preserve">Carry out a review of any </w:t>
            </w:r>
            <w:r w:rsidR="009D6BB6" w:rsidRPr="00290068">
              <w:rPr>
                <w:rFonts w:cstheme="minorHAnsi"/>
                <w:color w:val="000000" w:themeColor="text1"/>
                <w:highlight w:val="green"/>
              </w:rPr>
              <w:t>tenant complaints to</w:t>
            </w:r>
            <w:r w:rsidRPr="00290068">
              <w:rPr>
                <w:rFonts w:cstheme="minorHAnsi"/>
                <w:color w:val="000000" w:themeColor="text1"/>
                <w:highlight w:val="green"/>
              </w:rPr>
              <w:t xml:space="preserve"> understand themes and trends.</w:t>
            </w:r>
          </w:p>
          <w:p w14:paraId="4D1CA689" w14:textId="77777777" w:rsidR="001D685F" w:rsidRPr="001D685F" w:rsidRDefault="001D685F" w:rsidP="007C303E">
            <w:pPr>
              <w:autoSpaceDE w:val="0"/>
              <w:autoSpaceDN w:val="0"/>
              <w:adjustRightInd w:val="0"/>
              <w:rPr>
                <w:rFonts w:cstheme="minorHAnsi"/>
                <w:color w:val="000000" w:themeColor="text1"/>
              </w:rPr>
            </w:pPr>
          </w:p>
          <w:p w14:paraId="5F2DC064" w14:textId="2D813A9C" w:rsidR="001D685F" w:rsidRPr="000C4F4D" w:rsidRDefault="001D685F" w:rsidP="007C303E">
            <w:pPr>
              <w:autoSpaceDE w:val="0"/>
              <w:autoSpaceDN w:val="0"/>
              <w:adjustRightInd w:val="0"/>
              <w:rPr>
                <w:rFonts w:cstheme="minorHAnsi"/>
                <w:color w:val="000000" w:themeColor="text1"/>
                <w:highlight w:val="green"/>
              </w:rPr>
            </w:pPr>
            <w:r w:rsidRPr="000C4F4D">
              <w:rPr>
                <w:rFonts w:cstheme="minorHAnsi"/>
                <w:color w:val="000000" w:themeColor="text1"/>
                <w:highlight w:val="green"/>
              </w:rPr>
              <w:t xml:space="preserve">Encourage an attitude of learning and discussion </w:t>
            </w:r>
            <w:r w:rsidR="009D6BB6" w:rsidRPr="000C4F4D">
              <w:rPr>
                <w:rFonts w:cstheme="minorHAnsi"/>
                <w:color w:val="000000" w:themeColor="text1"/>
                <w:highlight w:val="green"/>
              </w:rPr>
              <w:t xml:space="preserve">via team meetings, </w:t>
            </w:r>
            <w:r w:rsidRPr="000C4F4D">
              <w:rPr>
                <w:rFonts w:cstheme="minorHAnsi"/>
                <w:color w:val="000000" w:themeColor="text1"/>
                <w:highlight w:val="green"/>
              </w:rPr>
              <w:t xml:space="preserve">recommend </w:t>
            </w:r>
            <w:r w:rsidR="009D6BB6" w:rsidRPr="000C4F4D">
              <w:rPr>
                <w:rFonts w:cstheme="minorHAnsi"/>
                <w:color w:val="000000" w:themeColor="text1"/>
                <w:highlight w:val="green"/>
              </w:rPr>
              <w:t>books, films</w:t>
            </w:r>
            <w:r w:rsidRPr="000C4F4D">
              <w:rPr>
                <w:rFonts w:cstheme="minorHAnsi"/>
                <w:color w:val="000000" w:themeColor="text1"/>
                <w:highlight w:val="green"/>
              </w:rPr>
              <w:t>, music, TED talks etc. Share positive role models of Black, Asian and Ethnic</w:t>
            </w:r>
          </w:p>
          <w:p w14:paraId="793AA85F" w14:textId="77777777" w:rsidR="001D685F" w:rsidRPr="000C4F4D" w:rsidRDefault="001D685F" w:rsidP="007C303E">
            <w:pPr>
              <w:autoSpaceDE w:val="0"/>
              <w:autoSpaceDN w:val="0"/>
              <w:adjustRightInd w:val="0"/>
              <w:rPr>
                <w:rFonts w:cstheme="minorHAnsi"/>
                <w:color w:val="000000" w:themeColor="text1"/>
                <w:highlight w:val="green"/>
              </w:rPr>
            </w:pPr>
            <w:r w:rsidRPr="000C4F4D">
              <w:rPr>
                <w:rFonts w:cstheme="minorHAnsi"/>
                <w:color w:val="000000" w:themeColor="text1"/>
                <w:highlight w:val="green"/>
              </w:rPr>
              <w:t>Minority people.</w:t>
            </w:r>
          </w:p>
          <w:p w14:paraId="5A5A41DE" w14:textId="77777777" w:rsidR="009D6BB6" w:rsidRPr="000C4F4D" w:rsidRDefault="009D6BB6" w:rsidP="007C303E">
            <w:pPr>
              <w:autoSpaceDE w:val="0"/>
              <w:autoSpaceDN w:val="0"/>
              <w:adjustRightInd w:val="0"/>
              <w:rPr>
                <w:rFonts w:cstheme="minorHAnsi"/>
                <w:color w:val="000000" w:themeColor="text1"/>
                <w:highlight w:val="green"/>
              </w:rPr>
            </w:pPr>
          </w:p>
          <w:p w14:paraId="539DB724" w14:textId="77777777" w:rsidR="001D685F" w:rsidRPr="000C4F4D" w:rsidRDefault="001D685F" w:rsidP="007C303E">
            <w:pPr>
              <w:autoSpaceDE w:val="0"/>
              <w:autoSpaceDN w:val="0"/>
              <w:adjustRightInd w:val="0"/>
              <w:rPr>
                <w:rFonts w:cstheme="minorHAnsi"/>
                <w:color w:val="000000" w:themeColor="text1"/>
                <w:highlight w:val="green"/>
              </w:rPr>
            </w:pPr>
            <w:r w:rsidRPr="000C4F4D">
              <w:rPr>
                <w:rFonts w:cstheme="minorHAnsi"/>
                <w:color w:val="000000" w:themeColor="text1"/>
                <w:highlight w:val="green"/>
              </w:rPr>
              <w:t>Support colleagues and customers to share their own views and experiences</w:t>
            </w:r>
          </w:p>
          <w:p w14:paraId="3DBCD723" w14:textId="77777777" w:rsidR="00046468" w:rsidRDefault="001D685F" w:rsidP="007C303E">
            <w:pPr>
              <w:rPr>
                <w:rFonts w:cstheme="minorHAnsi"/>
                <w:color w:val="000000" w:themeColor="text1"/>
              </w:rPr>
            </w:pPr>
            <w:r w:rsidRPr="000C4F4D">
              <w:rPr>
                <w:rFonts w:cstheme="minorHAnsi"/>
                <w:color w:val="000000" w:themeColor="text1"/>
                <w:highlight w:val="green"/>
              </w:rPr>
              <w:t>should they wish to do so.</w:t>
            </w:r>
          </w:p>
          <w:p w14:paraId="10962D7D" w14:textId="77777777" w:rsidR="00D43C79" w:rsidRDefault="00D43C79" w:rsidP="007C303E">
            <w:pPr>
              <w:rPr>
                <w:rFonts w:cstheme="minorHAnsi"/>
                <w:color w:val="000000" w:themeColor="text1"/>
              </w:rPr>
            </w:pPr>
          </w:p>
          <w:p w14:paraId="6487C395" w14:textId="101DFC72" w:rsidR="00D43C79" w:rsidRPr="00D43C79" w:rsidRDefault="00D43C79" w:rsidP="007C303E">
            <w:pPr>
              <w:rPr>
                <w:rFonts w:cstheme="minorHAnsi"/>
                <w:color w:val="FF0000"/>
              </w:rPr>
            </w:pPr>
          </w:p>
        </w:tc>
        <w:tc>
          <w:tcPr>
            <w:tcW w:w="3260" w:type="dxa"/>
          </w:tcPr>
          <w:p w14:paraId="47670D5C" w14:textId="77777777" w:rsidR="00046468" w:rsidRPr="001D685F" w:rsidRDefault="00046468" w:rsidP="007C303E">
            <w:pPr>
              <w:rPr>
                <w:rFonts w:cstheme="minorHAnsi"/>
                <w:color w:val="000000" w:themeColor="text1"/>
              </w:rPr>
            </w:pPr>
          </w:p>
        </w:tc>
      </w:tr>
      <w:tr w:rsidR="00DD04A3" w:rsidRPr="00DD04A3" w14:paraId="66D815C3" w14:textId="77777777" w:rsidTr="007C303E">
        <w:tc>
          <w:tcPr>
            <w:tcW w:w="1980" w:type="dxa"/>
          </w:tcPr>
          <w:p w14:paraId="4038DF59" w14:textId="7DD1808D" w:rsidR="00046468" w:rsidRPr="00DD04A3" w:rsidRDefault="00046468" w:rsidP="007C303E">
            <w:pPr>
              <w:rPr>
                <w:rFonts w:cstheme="minorHAnsi"/>
              </w:rPr>
            </w:pPr>
          </w:p>
        </w:tc>
        <w:tc>
          <w:tcPr>
            <w:tcW w:w="4111" w:type="dxa"/>
          </w:tcPr>
          <w:p w14:paraId="60DD2B27" w14:textId="77777777" w:rsidR="00046468" w:rsidRPr="00DD04A3" w:rsidRDefault="00046468" w:rsidP="007C303E">
            <w:pPr>
              <w:rPr>
                <w:rFonts w:cstheme="minorHAnsi"/>
              </w:rPr>
            </w:pPr>
            <w:r w:rsidRPr="00DD04A3">
              <w:rPr>
                <w:rFonts w:cstheme="minorHAnsi"/>
              </w:rPr>
              <w:t>Invest in reverse mentoring schemes to share experiences and improve opportunities</w:t>
            </w:r>
          </w:p>
        </w:tc>
        <w:tc>
          <w:tcPr>
            <w:tcW w:w="4394" w:type="dxa"/>
          </w:tcPr>
          <w:p w14:paraId="1FCD5E7F" w14:textId="01AEDC4C" w:rsidR="00046468" w:rsidRPr="00DD04A3" w:rsidRDefault="00B6727B" w:rsidP="007C303E">
            <w:pPr>
              <w:rPr>
                <w:rFonts w:ascii="Calibri" w:hAnsi="Calibri" w:cs="Calibri"/>
              </w:rPr>
            </w:pPr>
            <w:r w:rsidRPr="00DD04A3">
              <w:rPr>
                <w:rFonts w:ascii="Calibri" w:hAnsi="Calibri" w:cs="Calibri"/>
                <w:shd w:val="clear" w:color="auto" w:fill="FFFFFF"/>
              </w:rPr>
              <w:t>Reverse mentoring can work in many different ways, whichever best suits the organisation. Investing doesn’t necessarily mean finance – it could mean time spent with colleagues, for e.g. younger BAME peers. We will discuss with partners such as Tai Pawb whether this is something they could help facilitate, especially as we do not</w:t>
            </w:r>
            <w:r w:rsidR="00C32E86">
              <w:rPr>
                <w:rFonts w:ascii="Calibri" w:hAnsi="Calibri" w:cs="Calibri"/>
                <w:shd w:val="clear" w:color="auto" w:fill="FFFFFF"/>
              </w:rPr>
              <w:t xml:space="preserve"> have </w:t>
            </w:r>
            <w:r w:rsidRPr="00DD04A3">
              <w:rPr>
                <w:rFonts w:ascii="Calibri" w:hAnsi="Calibri" w:cs="Calibri"/>
                <w:shd w:val="clear" w:color="auto" w:fill="FFFFFF"/>
              </w:rPr>
              <w:t>any staff from BAME. It could be that organisations can work across each other, or with younger BAME people who might be interested in working in the housing sector but don’t currently. Both sides have a huge opportunity to gain valuable insights into each other’s roles and experiences.</w:t>
            </w:r>
          </w:p>
        </w:tc>
        <w:tc>
          <w:tcPr>
            <w:tcW w:w="3260" w:type="dxa"/>
          </w:tcPr>
          <w:p w14:paraId="24AEF41F" w14:textId="77777777" w:rsidR="00046468" w:rsidRPr="00DD04A3" w:rsidRDefault="00DD04A3" w:rsidP="007C303E">
            <w:pPr>
              <w:rPr>
                <w:rFonts w:cstheme="minorHAnsi"/>
              </w:rPr>
            </w:pPr>
            <w:r>
              <w:rPr>
                <w:rFonts w:cstheme="minorHAnsi"/>
              </w:rPr>
              <w:t xml:space="preserve">Shared experiences and good practice to support education , learning and awareness </w:t>
            </w:r>
          </w:p>
        </w:tc>
      </w:tr>
    </w:tbl>
    <w:p w14:paraId="0AC7C524" w14:textId="77777777" w:rsidR="00DB79A2" w:rsidRPr="00DD04A3" w:rsidRDefault="00DB79A2">
      <w:pPr>
        <w:rPr>
          <w:rFonts w:cstheme="minorHAnsi"/>
        </w:rPr>
      </w:pPr>
    </w:p>
    <w:sectPr w:rsidR="00DB79A2" w:rsidRPr="00DD04A3" w:rsidSect="00493A81">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8CF7" w14:textId="77777777" w:rsidR="00D1016A" w:rsidRDefault="00D1016A" w:rsidP="00493A81">
      <w:pPr>
        <w:spacing w:after="0" w:line="240" w:lineRule="auto"/>
      </w:pPr>
      <w:r>
        <w:separator/>
      </w:r>
    </w:p>
  </w:endnote>
  <w:endnote w:type="continuationSeparator" w:id="0">
    <w:p w14:paraId="611ED304" w14:textId="77777777" w:rsidR="00D1016A" w:rsidRDefault="00D1016A" w:rsidP="0049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G Tangled Up In You 2">
    <w:altName w:val="Times New Roman"/>
    <w:panose1 w:val="02000000000000000000"/>
    <w:charset w:val="00"/>
    <w:family w:val="auto"/>
    <w:pitch w:val="variable"/>
    <w:sig w:usb0="A000002F" w:usb1="00000002" w:usb2="00000000" w:usb3="00000000" w:csb0="00000003" w:csb1="00000000"/>
  </w:font>
  <w:font w:name="Kohinoor Bangla">
    <w:panose1 w:val="02000000000000000000"/>
    <w:charset w:val="00"/>
    <w:family w:val="auto"/>
    <w:pitch w:val="variable"/>
    <w:sig w:usb0="00010007" w:usb1="00000000" w:usb2="00000000" w:usb3="00000000" w:csb0="00000093" w:csb1="00000000"/>
  </w:font>
  <w:font w:name="franklin-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fia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459644"/>
      <w:docPartObj>
        <w:docPartGallery w:val="Page Numbers (Bottom of Page)"/>
        <w:docPartUnique/>
      </w:docPartObj>
    </w:sdtPr>
    <w:sdtEndPr>
      <w:rPr>
        <w:noProof/>
      </w:rPr>
    </w:sdtEndPr>
    <w:sdtContent>
      <w:p w14:paraId="06030019" w14:textId="50150D1D" w:rsidR="00493A81" w:rsidRDefault="00493A81">
        <w:pPr>
          <w:pStyle w:val="Footer"/>
          <w:jc w:val="right"/>
        </w:pPr>
        <w:r>
          <w:fldChar w:fldCharType="begin"/>
        </w:r>
        <w:r>
          <w:instrText xml:space="preserve"> PAGE   \* MERGEFORMAT </w:instrText>
        </w:r>
        <w:r>
          <w:fldChar w:fldCharType="separate"/>
        </w:r>
        <w:r w:rsidR="00C32E86">
          <w:rPr>
            <w:noProof/>
          </w:rPr>
          <w:t>8</w:t>
        </w:r>
        <w:r>
          <w:rPr>
            <w:noProof/>
          </w:rPr>
          <w:fldChar w:fldCharType="end"/>
        </w:r>
      </w:p>
    </w:sdtContent>
  </w:sdt>
  <w:p w14:paraId="503097D1" w14:textId="77777777" w:rsidR="00493A81" w:rsidRDefault="0049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9EEF" w14:textId="77777777" w:rsidR="00D1016A" w:rsidRDefault="00D1016A" w:rsidP="00493A81">
      <w:pPr>
        <w:spacing w:after="0" w:line="240" w:lineRule="auto"/>
      </w:pPr>
      <w:r>
        <w:separator/>
      </w:r>
    </w:p>
  </w:footnote>
  <w:footnote w:type="continuationSeparator" w:id="0">
    <w:p w14:paraId="07414F5C" w14:textId="77777777" w:rsidR="00D1016A" w:rsidRDefault="00D1016A" w:rsidP="0049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53F" w14:textId="73CB81BE" w:rsidR="00493A81" w:rsidRDefault="00493A81">
    <w:pPr>
      <w:pStyle w:val="Header"/>
    </w:pPr>
    <w:r>
      <w:rPr>
        <w:noProof/>
        <w:lang w:eastAsia="en-GB"/>
      </w:rPr>
      <w:drawing>
        <wp:anchor distT="0" distB="0" distL="114300" distR="114300" simplePos="0" relativeHeight="251659264" behindDoc="0" locked="0" layoutInCell="1" allowOverlap="1" wp14:anchorId="613D5ADF" wp14:editId="0280111A">
          <wp:simplePos x="0" y="0"/>
          <wp:positionH relativeFrom="page">
            <wp:align>right</wp:align>
          </wp:positionH>
          <wp:positionV relativeFrom="paragraph">
            <wp:posOffset>-448310</wp:posOffset>
          </wp:positionV>
          <wp:extent cx="1076325" cy="1076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7D25"/>
    <w:multiLevelType w:val="multilevel"/>
    <w:tmpl w:val="8410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907F9"/>
    <w:multiLevelType w:val="multilevel"/>
    <w:tmpl w:val="16D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E444E"/>
    <w:multiLevelType w:val="multilevel"/>
    <w:tmpl w:val="3CD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00FA3"/>
    <w:multiLevelType w:val="hybridMultilevel"/>
    <w:tmpl w:val="76122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5669551">
    <w:abstractNumId w:val="3"/>
  </w:num>
  <w:num w:numId="2" w16cid:durableId="535433513">
    <w:abstractNumId w:val="2"/>
  </w:num>
  <w:num w:numId="3" w16cid:durableId="212816974">
    <w:abstractNumId w:val="0"/>
  </w:num>
  <w:num w:numId="4" w16cid:durableId="178063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7"/>
    <w:rsid w:val="00026ACD"/>
    <w:rsid w:val="00046468"/>
    <w:rsid w:val="0004678A"/>
    <w:rsid w:val="000A4034"/>
    <w:rsid w:val="000C4F4D"/>
    <w:rsid w:val="000F59BA"/>
    <w:rsid w:val="001157B0"/>
    <w:rsid w:val="00120C8A"/>
    <w:rsid w:val="001B6EB0"/>
    <w:rsid w:val="001C2F06"/>
    <w:rsid w:val="001D685F"/>
    <w:rsid w:val="001E62AB"/>
    <w:rsid w:val="00227FFD"/>
    <w:rsid w:val="0023488B"/>
    <w:rsid w:val="00290068"/>
    <w:rsid w:val="002C2D08"/>
    <w:rsid w:val="00365C8E"/>
    <w:rsid w:val="003E70F3"/>
    <w:rsid w:val="003F43B9"/>
    <w:rsid w:val="00407527"/>
    <w:rsid w:val="00476316"/>
    <w:rsid w:val="00493A81"/>
    <w:rsid w:val="004A3392"/>
    <w:rsid w:val="004A39A9"/>
    <w:rsid w:val="004C51C7"/>
    <w:rsid w:val="004D654F"/>
    <w:rsid w:val="004E2E56"/>
    <w:rsid w:val="005820AC"/>
    <w:rsid w:val="005C0405"/>
    <w:rsid w:val="005D607A"/>
    <w:rsid w:val="006D7E2D"/>
    <w:rsid w:val="007C303E"/>
    <w:rsid w:val="007C7036"/>
    <w:rsid w:val="007D1763"/>
    <w:rsid w:val="007E0669"/>
    <w:rsid w:val="007E75F4"/>
    <w:rsid w:val="007F23C8"/>
    <w:rsid w:val="00802FC0"/>
    <w:rsid w:val="0085399F"/>
    <w:rsid w:val="00980B3D"/>
    <w:rsid w:val="009A1AB3"/>
    <w:rsid w:val="009D6BB6"/>
    <w:rsid w:val="00A00633"/>
    <w:rsid w:val="00A55D28"/>
    <w:rsid w:val="00AA0847"/>
    <w:rsid w:val="00B44166"/>
    <w:rsid w:val="00B47548"/>
    <w:rsid w:val="00B545EA"/>
    <w:rsid w:val="00B6727B"/>
    <w:rsid w:val="00B97A9E"/>
    <w:rsid w:val="00BB50F2"/>
    <w:rsid w:val="00C32E86"/>
    <w:rsid w:val="00C63AB8"/>
    <w:rsid w:val="00C72F3E"/>
    <w:rsid w:val="00D1016A"/>
    <w:rsid w:val="00D43C79"/>
    <w:rsid w:val="00D4635F"/>
    <w:rsid w:val="00D54E95"/>
    <w:rsid w:val="00DB79A2"/>
    <w:rsid w:val="00DD04A3"/>
    <w:rsid w:val="00DD459C"/>
    <w:rsid w:val="00DF236C"/>
    <w:rsid w:val="00F1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9D84E"/>
  <w15:chartTrackingRefBased/>
  <w15:docId w15:val="{FD923FC3-868D-4A40-83D9-BAAC180F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847"/>
    <w:pPr>
      <w:ind w:left="720"/>
      <w:contextualSpacing/>
    </w:pPr>
  </w:style>
  <w:style w:type="character" w:styleId="Strong">
    <w:name w:val="Strong"/>
    <w:basedOn w:val="DefaultParagraphFont"/>
    <w:uiPriority w:val="22"/>
    <w:qFormat/>
    <w:rsid w:val="00B44166"/>
    <w:rPr>
      <w:b/>
      <w:bCs/>
    </w:rPr>
  </w:style>
  <w:style w:type="paragraph" w:styleId="BodyText">
    <w:name w:val="Body Text"/>
    <w:aliases w:val="Title Page Grey Title"/>
    <w:basedOn w:val="Normal"/>
    <w:link w:val="BodyTextChar"/>
    <w:uiPriority w:val="1"/>
    <w:qFormat/>
    <w:rsid w:val="004A39A9"/>
    <w:pPr>
      <w:widowControl w:val="0"/>
      <w:autoSpaceDE w:val="0"/>
      <w:autoSpaceDN w:val="0"/>
      <w:spacing w:before="209" w:after="0" w:line="728" w:lineRule="exact"/>
      <w:ind w:left="110" w:right="111"/>
      <w:jc w:val="center"/>
    </w:pPr>
    <w:rPr>
      <w:rFonts w:ascii="KG Tangled Up In You 2" w:hAnsi="Kohinoor Bangla" w:cs="Times New Roman"/>
      <w:color w:val="374543"/>
      <w:spacing w:val="11"/>
      <w:sz w:val="72"/>
      <w:szCs w:val="24"/>
      <w:lang w:val="en-US"/>
      <w14:textOutline w14:w="9525" w14:cap="rnd" w14:cmpd="sng" w14:algn="ctr">
        <w14:solidFill>
          <w14:schemeClr w14:val="tx1"/>
        </w14:solidFill>
        <w14:prstDash w14:val="solid"/>
        <w14:bevel/>
      </w14:textOutline>
    </w:rPr>
  </w:style>
  <w:style w:type="character" w:customStyle="1" w:styleId="BodyTextChar">
    <w:name w:val="Body Text Char"/>
    <w:aliases w:val="Title Page Grey Title Char"/>
    <w:basedOn w:val="DefaultParagraphFont"/>
    <w:link w:val="BodyText"/>
    <w:uiPriority w:val="1"/>
    <w:rsid w:val="004A39A9"/>
    <w:rPr>
      <w:rFonts w:ascii="KG Tangled Up In You 2" w:hAnsi="Kohinoor Bangla" w:cs="Times New Roman"/>
      <w:color w:val="374543"/>
      <w:spacing w:val="11"/>
      <w:sz w:val="72"/>
      <w:szCs w:val="24"/>
      <w:lang w:val="en-US"/>
      <w14:textOutline w14:w="9525" w14:cap="rnd" w14:cmpd="sng" w14:algn="ctr">
        <w14:solidFill>
          <w14:schemeClr w14:val="tx1"/>
        </w14:solidFill>
        <w14:prstDash w14:val="solid"/>
        <w14:bevel/>
      </w14:textOutline>
    </w:rPr>
  </w:style>
  <w:style w:type="paragraph" w:styleId="Header">
    <w:name w:val="header"/>
    <w:basedOn w:val="Normal"/>
    <w:link w:val="HeaderChar"/>
    <w:uiPriority w:val="99"/>
    <w:unhideWhenUsed/>
    <w:rsid w:val="0049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A81"/>
  </w:style>
  <w:style w:type="paragraph" w:styleId="Footer">
    <w:name w:val="footer"/>
    <w:basedOn w:val="Normal"/>
    <w:link w:val="FooterChar"/>
    <w:uiPriority w:val="99"/>
    <w:unhideWhenUsed/>
    <w:rsid w:val="0049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5001">
      <w:bodyDiv w:val="1"/>
      <w:marLeft w:val="0"/>
      <w:marRight w:val="0"/>
      <w:marTop w:val="0"/>
      <w:marBottom w:val="0"/>
      <w:divBdr>
        <w:top w:val="none" w:sz="0" w:space="0" w:color="auto"/>
        <w:left w:val="none" w:sz="0" w:space="0" w:color="auto"/>
        <w:bottom w:val="none" w:sz="0" w:space="0" w:color="auto"/>
        <w:right w:val="none" w:sz="0" w:space="0" w:color="auto"/>
      </w:divBdr>
    </w:div>
    <w:div w:id="1748309865">
      <w:bodyDiv w:val="1"/>
      <w:marLeft w:val="0"/>
      <w:marRight w:val="0"/>
      <w:marTop w:val="0"/>
      <w:marBottom w:val="0"/>
      <w:divBdr>
        <w:top w:val="none" w:sz="0" w:space="0" w:color="auto"/>
        <w:left w:val="none" w:sz="0" w:space="0" w:color="auto"/>
        <w:bottom w:val="none" w:sz="0" w:space="0" w:color="auto"/>
        <w:right w:val="none" w:sz="0" w:space="0" w:color="auto"/>
      </w:divBdr>
    </w:div>
    <w:div w:id="18048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Lloyd-Williams</dc:creator>
  <cp:keywords/>
  <dc:description/>
  <cp:lastModifiedBy>Donna Webb</cp:lastModifiedBy>
  <cp:revision>7</cp:revision>
  <dcterms:created xsi:type="dcterms:W3CDTF">2022-04-26T11:20:00Z</dcterms:created>
  <dcterms:modified xsi:type="dcterms:W3CDTF">2024-02-07T07:48:00Z</dcterms:modified>
</cp:coreProperties>
</file>